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方正小标宋简体"/>
          <w:sz w:val="72"/>
          <w:szCs w:val="72"/>
        </w:rPr>
      </w:pPr>
      <w:r>
        <w:rPr>
          <w:rFonts w:ascii="方正小标宋简体" w:hAnsi="方正小标宋简体" w:eastAsia="方正小标宋简体" w:cs="方正小标宋简体"/>
          <w:sz w:val="72"/>
          <w:szCs w:val="72"/>
        </w:rPr>
        <w:t>2018</w:t>
      </w:r>
      <w:r>
        <w:rPr>
          <w:rFonts w:hint="eastAsia" w:ascii="方正小标宋简体" w:hAnsi="方正小标宋简体" w:eastAsia="方正小标宋简体" w:cs="方正小标宋简体"/>
          <w:sz w:val="72"/>
          <w:szCs w:val="72"/>
        </w:rPr>
        <w:t>年</w:t>
      </w:r>
    </w:p>
    <w:p>
      <w:pPr>
        <w:jc w:val="center"/>
        <w:rPr>
          <w:rFonts w:ascii="方正小标宋简体" w:hAnsi="方正小标宋简体" w:eastAsia="方正小标宋简体" w:cs="Times New Roman"/>
          <w:sz w:val="72"/>
          <w:szCs w:val="72"/>
        </w:rPr>
      </w:pPr>
      <w:r>
        <w:rPr>
          <w:rFonts w:hint="eastAsia" w:ascii="方正小标宋简体" w:hAnsi="方正小标宋简体" w:eastAsia="方正小标宋简体" w:cs="方正小标宋简体"/>
          <w:sz w:val="72"/>
          <w:szCs w:val="72"/>
        </w:rPr>
        <w:t>榕城区总工会部门预算</w:t>
      </w: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jc w:val="center"/>
        <w:rPr>
          <w:rFonts w:ascii="黑体" w:hAnsi="黑体" w:eastAsia="黑体" w:cs="Times New Roman"/>
          <w:sz w:val="44"/>
          <w:szCs w:val="44"/>
        </w:rPr>
      </w:pPr>
      <w:r>
        <w:rPr>
          <w:rFonts w:ascii="方正小标宋简体" w:hAnsi="方正小标宋简体" w:eastAsia="方正小标宋简体" w:cs="Times New Roman"/>
          <w:sz w:val="84"/>
          <w:szCs w:val="84"/>
        </w:rPr>
        <w:br w:type="page"/>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榕城区总工会概况</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2018</w:t>
      </w:r>
      <w:r>
        <w:rPr>
          <w:rFonts w:hint="eastAsia" w:ascii="黑体" w:hAnsi="黑体" w:eastAsia="黑体" w:cs="黑体"/>
          <w:sz w:val="32"/>
          <w:szCs w:val="32"/>
        </w:rPr>
        <w:t>年部门预算表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部门预算项目支出及其他支出预算表</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2018</w:t>
      </w:r>
      <w:r>
        <w:rPr>
          <w:rFonts w:hint="eastAsia" w:ascii="黑体" w:hAnsi="黑体" w:eastAsia="黑体" w:cs="黑体"/>
          <w:sz w:val="32"/>
          <w:szCs w:val="32"/>
        </w:rPr>
        <w:t>年部门预算情况说明</w:t>
      </w:r>
    </w:p>
    <w:p>
      <w:pPr>
        <w:ind w:firstLine="640" w:firstLineChars="200"/>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第一部分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榕城区总工会概况</w:t>
      </w:r>
    </w:p>
    <w:p>
      <w:pPr>
        <w:rPr>
          <w:rFonts w:ascii="黑体" w:hAnsi="黑体" w:eastAsia="黑体" w:cs="Times New Roman"/>
          <w:sz w:val="44"/>
          <w:szCs w:val="44"/>
        </w:rPr>
      </w:pPr>
    </w:p>
    <w:p>
      <w:pPr>
        <w:ind w:firstLine="640" w:firstLineChars="200"/>
        <w:rPr>
          <w:rFonts w:ascii="仿宋_GB2312" w:eastAsia="仿宋_GB2312"/>
          <w:sz w:val="32"/>
          <w:szCs w:val="32"/>
        </w:rPr>
      </w:pPr>
      <w:r>
        <w:rPr>
          <w:rFonts w:hint="eastAsia" w:ascii="仿宋_GB2312" w:eastAsia="仿宋_GB2312"/>
          <w:sz w:val="32"/>
          <w:szCs w:val="32"/>
        </w:rPr>
        <w:t>一、主要职责</w:t>
      </w:r>
    </w:p>
    <w:p>
      <w:pPr>
        <w:spacing w:line="500" w:lineRule="exact"/>
        <w:ind w:firstLine="627" w:firstLineChars="196"/>
        <w:rPr>
          <w:rFonts w:ascii="仿宋_GB2312" w:hAnsi="宋体" w:eastAsia="仿宋_GB2312"/>
          <w:color w:val="000000"/>
          <w:sz w:val="32"/>
          <w:szCs w:val="32"/>
        </w:rPr>
      </w:pPr>
      <w:r>
        <w:rPr>
          <w:rFonts w:hint="eastAsia" w:ascii="仿宋_GB2312" w:hAnsi="宋体" w:eastAsia="仿宋_GB2312"/>
          <w:color w:val="000000"/>
          <w:sz w:val="32"/>
          <w:szCs w:val="32"/>
        </w:rPr>
        <w:t>榕城区总工会是区委领导下负责工会工作的群众团体。其主要任务是：</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（一）贯彻落实党和国家关于工会工作的方针政策，研究、制订全区工会工作计划，并组织实施。</w:t>
      </w:r>
    </w:p>
    <w:p>
      <w:pPr>
        <w:spacing w:line="500" w:lineRule="exact"/>
        <w:ind w:firstLine="467" w:firstLineChars="146"/>
        <w:rPr>
          <w:rFonts w:ascii="仿宋_GB2312" w:hAnsi="宋体" w:eastAsia="仿宋_GB2312"/>
          <w:bCs/>
          <w:color w:val="000000"/>
          <w:sz w:val="32"/>
          <w:szCs w:val="32"/>
        </w:rPr>
      </w:pPr>
      <w:r>
        <w:rPr>
          <w:rFonts w:hint="eastAsia" w:ascii="仿宋_GB2312" w:hAnsi="宋体" w:eastAsia="仿宋_GB2312"/>
          <w:bCs/>
          <w:color w:val="000000"/>
          <w:sz w:val="32"/>
          <w:szCs w:val="32"/>
        </w:rPr>
        <w:t>（二）依法组建工会和发展工会会员。指导基层工会的组织建设，做好工会干部培训教育工作。</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（三）指导基层工会参与民主管理，对企事业的劳动安全卫生保护实施职工群众监督检查，依法调处劳动关系。</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（四）协助有关部门做好职工生活福利和社会保障工作，维护职工合法权益。</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（五）组织、指导职工开展劳动竞赛、技术革新、合理化建议、职工群众科技活动，做好劳模、先进生产（工作）者及先进集体的评选推荐和管理工作。</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（六）指导基层工会开展职工的政治思想、文化、技术教育和健康的文体、娱乐活动。</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（七）承办区委和市总工会交办的其他事项。</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二、机构设置</w:t>
      </w:r>
    </w:p>
    <w:p>
      <w:pPr>
        <w:ind w:firstLine="640" w:firstLineChars="200"/>
        <w:rPr>
          <w:rFonts w:ascii="仿宋_GB2312" w:eastAsia="仿宋_GB2312"/>
          <w:sz w:val="32"/>
          <w:szCs w:val="32"/>
        </w:rPr>
      </w:pPr>
      <w:r>
        <w:rPr>
          <w:rFonts w:hint="eastAsia" w:ascii="仿宋_GB2312" w:eastAsia="仿宋_GB2312"/>
          <w:sz w:val="32"/>
          <w:szCs w:val="32"/>
        </w:rPr>
        <w:t>（一）部门预算为本级预算。</w:t>
      </w:r>
    </w:p>
    <w:p>
      <w:pPr>
        <w:ind w:firstLine="627" w:firstLineChars="196"/>
        <w:rPr>
          <w:rFonts w:hint="eastAsia" w:ascii="仿宋_GB2312" w:hAnsi="宋体" w:eastAsia="仿宋_GB2312"/>
          <w:color w:val="000000"/>
          <w:sz w:val="30"/>
          <w:szCs w:val="30"/>
        </w:rPr>
      </w:pPr>
      <w:r>
        <w:rPr>
          <w:rFonts w:hint="eastAsia" w:ascii="仿宋_GB2312" w:eastAsia="仿宋_GB2312"/>
          <w:sz w:val="32"/>
          <w:szCs w:val="32"/>
        </w:rPr>
        <w:t>（二）榕城区总工会设</w:t>
      </w:r>
      <w:r>
        <w:rPr>
          <w:rFonts w:ascii="仿宋_GB2312" w:eastAsia="仿宋_GB2312"/>
          <w:sz w:val="32"/>
          <w:szCs w:val="32"/>
        </w:rPr>
        <w:t>2</w:t>
      </w:r>
      <w:r>
        <w:rPr>
          <w:rFonts w:hint="eastAsia" w:ascii="仿宋_GB2312" w:eastAsia="仿宋_GB2312"/>
          <w:sz w:val="32"/>
          <w:szCs w:val="32"/>
        </w:rPr>
        <w:t>个内设机构：办公室、综合业务部</w:t>
      </w:r>
      <w:r>
        <w:rPr>
          <w:rFonts w:hint="eastAsia" w:ascii="仿宋_GB2312" w:eastAsia="仿宋_GB2312"/>
          <w:sz w:val="32"/>
          <w:szCs w:val="32"/>
          <w:lang w:eastAsia="zh-CN"/>
        </w:rPr>
        <w:t>及有</w:t>
      </w:r>
      <w:r>
        <w:rPr>
          <w:rFonts w:hint="eastAsia" w:ascii="仿宋_GB2312" w:eastAsia="仿宋_GB2312"/>
          <w:sz w:val="32"/>
          <w:szCs w:val="32"/>
          <w:lang w:val="en-US" w:eastAsia="zh-CN"/>
        </w:rPr>
        <w:t>1下属事业单位（榕城区工人文化宫）</w:t>
      </w:r>
      <w:r>
        <w:rPr>
          <w:rFonts w:hint="eastAsia" w:ascii="仿宋_GB2312" w:eastAsia="仿宋_GB2312"/>
          <w:sz w:val="32"/>
          <w:szCs w:val="32"/>
        </w:rPr>
        <w:t>。</w:t>
      </w:r>
      <w:r>
        <w:rPr>
          <w:rFonts w:hint="eastAsia" w:ascii="仿宋_GB2312" w:hAnsi="宋体" w:eastAsia="仿宋_GB2312"/>
          <w:color w:val="000000"/>
          <w:sz w:val="30"/>
          <w:szCs w:val="30"/>
        </w:rPr>
        <w:t>我会行政编制5</w:t>
      </w:r>
      <w:r>
        <w:rPr>
          <w:rFonts w:hint="eastAsia" w:ascii="仿宋_GB2312" w:hAnsi="宋体" w:eastAsia="仿宋_GB2312"/>
          <w:color w:val="000000"/>
          <w:sz w:val="30"/>
          <w:szCs w:val="30"/>
          <w:lang w:eastAsia="zh-CN"/>
        </w:rPr>
        <w:t>人</w:t>
      </w:r>
      <w:r>
        <w:rPr>
          <w:rFonts w:hint="eastAsia" w:ascii="仿宋_GB2312" w:hAnsi="宋体" w:eastAsia="仿宋_GB2312"/>
          <w:color w:val="000000"/>
          <w:sz w:val="30"/>
          <w:szCs w:val="30"/>
        </w:rPr>
        <w:t>，工人文化宫事业编制5人，共</w:t>
      </w:r>
      <w:r>
        <w:rPr>
          <w:rFonts w:hint="eastAsia" w:ascii="仿宋_GB2312" w:hAnsi="宋体" w:eastAsia="仿宋_GB2312"/>
          <w:color w:val="000000"/>
          <w:sz w:val="30"/>
          <w:szCs w:val="30"/>
          <w:lang w:val="en-US" w:eastAsia="zh-CN"/>
        </w:rPr>
        <w:t>10</w:t>
      </w:r>
      <w:r>
        <w:rPr>
          <w:rFonts w:hint="eastAsia" w:ascii="仿宋_GB2312" w:hAnsi="宋体" w:eastAsia="仿宋_GB2312"/>
          <w:color w:val="000000"/>
          <w:sz w:val="30"/>
          <w:szCs w:val="30"/>
        </w:rPr>
        <w:t>人。</w:t>
      </w:r>
    </w:p>
    <w:p>
      <w:pPr>
        <w:jc w:val="left"/>
        <w:rPr>
          <w:rFonts w:ascii="仿宋_GB2312" w:eastAsia="仿宋_GB2312"/>
          <w:sz w:val="32"/>
          <w:szCs w:val="32"/>
        </w:rPr>
      </w:pPr>
      <w:bookmarkStart w:id="0" w:name="_GoBack"/>
      <w:bookmarkEnd w:id="0"/>
    </w:p>
    <w:p>
      <w:pPr>
        <w:ind w:firstLine="640" w:firstLineChars="200"/>
        <w:rPr>
          <w:rFonts w:ascii="仿宋_GB2312" w:eastAsia="仿宋_GB2312"/>
          <w:sz w:val="32"/>
          <w:szCs w:val="32"/>
        </w:rPr>
      </w:pPr>
    </w:p>
    <w:p>
      <w:pPr>
        <w:rPr>
          <w:rFonts w:ascii="黑体" w:hAnsi="黑体" w:eastAsia="黑体" w:cs="Times New Roman"/>
          <w:sz w:val="44"/>
          <w:szCs w:val="44"/>
        </w:rPr>
        <w:sectPr>
          <w:pgSz w:w="11906" w:h="16838"/>
          <w:pgMar w:top="1440" w:right="1800" w:bottom="1440" w:left="1800" w:header="851" w:footer="992" w:gutter="0"/>
          <w:cols w:space="425" w:num="1"/>
          <w:docGrid w:type="lines" w:linePitch="312" w:charSpace="0"/>
        </w:sectPr>
      </w:pPr>
      <w:r>
        <w:rPr>
          <w:rFonts w:ascii="黑体" w:hAnsi="黑体" w:eastAsia="黑体" w:cs="黑体"/>
          <w:sz w:val="32"/>
          <w:szCs w:val="32"/>
        </w:rPr>
        <w:t xml:space="preserve">    </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第二部分</w:t>
      </w:r>
      <w:r>
        <w:rPr>
          <w:rFonts w:ascii="方正小标宋简体" w:hAnsi="方正小标宋简体" w:eastAsia="方正小标宋简体" w:cs="方正小标宋简体"/>
          <w:sz w:val="44"/>
          <w:szCs w:val="44"/>
        </w:rPr>
        <w:t xml:space="preserve">  2018</w:t>
      </w:r>
      <w:r>
        <w:rPr>
          <w:rFonts w:hint="eastAsia" w:ascii="方正小标宋简体" w:hAnsi="方正小标宋简体" w:eastAsia="方正小标宋简体" w:cs="方正小标宋简体"/>
          <w:sz w:val="44"/>
          <w:szCs w:val="44"/>
        </w:rPr>
        <w:t>年部门预算表</w:t>
      </w:r>
    </w:p>
    <w:p>
      <w:pPr>
        <w:ind w:firstLine="643" w:firstLineChars="200"/>
        <w:jc w:val="left"/>
        <w:rPr>
          <w:rFonts w:ascii="仿宋_GB2312" w:hAnsi="仿宋_GB2312" w:eastAsia="仿宋_GB2312" w:cs="仿宋_GB2312"/>
          <w:b/>
          <w:bCs/>
          <w:color w:val="FF0000"/>
          <w:sz w:val="32"/>
          <w:szCs w:val="32"/>
          <w:highlight w:val="lightGray"/>
          <w:u w:val="single"/>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表格公开以</w:t>
      </w:r>
      <w:r>
        <w:rPr>
          <w:rFonts w:ascii="仿宋_GB2312" w:eastAsia="仿宋_GB2312"/>
          <w:b/>
          <w:sz w:val="32"/>
          <w:szCs w:val="32"/>
        </w:rPr>
        <w:t>EXCEL</w:t>
      </w:r>
      <w:r>
        <w:rPr>
          <w:rFonts w:hint="eastAsia" w:ascii="仿宋_GB2312" w:eastAsia="仿宋_GB2312"/>
          <w:b/>
          <w:sz w:val="32"/>
          <w:szCs w:val="32"/>
        </w:rPr>
        <w:t>电子表格公开，公开表格另附。</w:t>
      </w:r>
    </w:p>
    <w:p>
      <w:pPr>
        <w:rPr>
          <w:rFonts w:ascii="楷体_GB2312" w:hAnsi="楷体_GB2312" w:eastAsia="楷体_GB2312" w:cs="Times New Roman"/>
          <w:sz w:val="32"/>
          <w:szCs w:val="32"/>
          <w:u w:val="single"/>
        </w:rPr>
      </w:pPr>
    </w:p>
    <w:p>
      <w:pPr>
        <w:jc w:val="center"/>
        <w:rPr>
          <w:rFonts w:ascii="方正小标宋简体" w:hAnsi="方正小标宋简体" w:eastAsia="方正小标宋简体" w:cs="Times New Roman"/>
          <w:sz w:val="44"/>
          <w:szCs w:val="44"/>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sectPr>
          <w:pgSz w:w="11906" w:h="16838"/>
          <w:pgMar w:top="1440" w:right="1800" w:bottom="1440" w:left="1800" w:header="851" w:footer="992" w:gutter="0"/>
          <w:cols w:space="425" w:num="1"/>
          <w:docGrid w:type="lines" w:linePitch="312" w:charSpace="0"/>
        </w:sect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第三部分</w:t>
      </w:r>
      <w:r>
        <w:rPr>
          <w:rFonts w:ascii="方正小标宋简体" w:hAnsi="方正小标宋简体" w:eastAsia="方正小标宋简体" w:cs="方正小标宋简体"/>
          <w:sz w:val="44"/>
          <w:szCs w:val="44"/>
        </w:rPr>
        <w:t xml:space="preserve">  2018</w:t>
      </w:r>
      <w:r>
        <w:rPr>
          <w:rFonts w:hint="eastAsia" w:ascii="方正小标宋简体" w:hAnsi="方正小标宋简体" w:eastAsia="方正小标宋简体" w:cs="方正小标宋简体"/>
          <w:sz w:val="44"/>
          <w:szCs w:val="44"/>
        </w:rPr>
        <w:t>年部门预算情况说明</w:t>
      </w:r>
    </w:p>
    <w:p>
      <w:pPr>
        <w:rPr>
          <w:rFonts w:ascii="方正小标宋简体" w:hAnsi="方正小标宋简体" w:eastAsia="方正小标宋简体" w:cs="Times New Roman"/>
          <w:sz w:val="44"/>
          <w:szCs w:val="44"/>
        </w:rPr>
      </w:pPr>
    </w:p>
    <w:p>
      <w:pPr>
        <w:numPr>
          <w:ilvl w:val="0"/>
          <w:numId w:val="3"/>
        </w:numPr>
        <w:ind w:firstLine="640" w:firstLineChars="200"/>
        <w:rPr>
          <w:rFonts w:ascii="黑体" w:hAnsi="黑体" w:eastAsia="黑体" w:cs="Times New Roman"/>
          <w:sz w:val="32"/>
          <w:szCs w:val="32"/>
        </w:rPr>
      </w:pPr>
      <w:r>
        <w:rPr>
          <w:rFonts w:hint="eastAsia" w:ascii="黑体" w:hAnsi="黑体" w:eastAsia="黑体" w:cs="黑体"/>
          <w:sz w:val="32"/>
          <w:szCs w:val="32"/>
        </w:rPr>
        <w:t>部门预算收支增减变化情况</w:t>
      </w: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年本部门收入预算</w:t>
      </w:r>
      <w:r>
        <w:rPr>
          <w:rFonts w:ascii="仿宋_GB2312" w:hAnsi="仿宋_GB2312" w:eastAsia="仿宋_GB2312" w:cs="仿宋_GB2312"/>
          <w:sz w:val="32"/>
          <w:szCs w:val="32"/>
        </w:rPr>
        <w:t>75.36</w:t>
      </w:r>
      <w:r>
        <w:rPr>
          <w:rFonts w:hint="eastAsia" w:ascii="仿宋_GB2312" w:hAnsi="仿宋_GB2312" w:eastAsia="仿宋_GB2312" w:cs="仿宋_GB2312"/>
          <w:sz w:val="32"/>
          <w:szCs w:val="32"/>
        </w:rPr>
        <w:t>万元，比上年增加</w:t>
      </w:r>
      <w:r>
        <w:rPr>
          <w:rFonts w:ascii="仿宋_GB2312" w:hAnsi="仿宋_GB2312" w:eastAsia="仿宋_GB2312" w:cs="仿宋_GB2312"/>
          <w:sz w:val="32"/>
          <w:szCs w:val="32"/>
        </w:rPr>
        <w:t>23.77</w:t>
      </w:r>
      <w:r>
        <w:rPr>
          <w:rFonts w:hint="eastAsia" w:ascii="仿宋_GB2312" w:hAnsi="仿宋_GB2312" w:eastAsia="仿宋_GB2312" w:cs="仿宋_GB2312"/>
          <w:sz w:val="32"/>
          <w:szCs w:val="32"/>
        </w:rPr>
        <w:t>万元，增加</w:t>
      </w:r>
      <w:r>
        <w:rPr>
          <w:rFonts w:ascii="仿宋_GB2312" w:hAnsi="仿宋_GB2312" w:eastAsia="仿宋_GB2312" w:cs="仿宋_GB2312"/>
          <w:sz w:val="32"/>
          <w:szCs w:val="32"/>
        </w:rPr>
        <w:t>46%</w:t>
      </w:r>
      <w:r>
        <w:rPr>
          <w:rFonts w:hint="eastAsia" w:ascii="仿宋_GB2312" w:hAnsi="仿宋_GB2312" w:eastAsia="仿宋_GB2312" w:cs="仿宋_GB2312"/>
          <w:sz w:val="32"/>
          <w:szCs w:val="32"/>
        </w:rPr>
        <w:t>，主要原因：</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增加职工医保缴费</w:t>
      </w:r>
      <w:r>
        <w:rPr>
          <w:rFonts w:ascii="仿宋_GB2312" w:hAnsi="仿宋_GB2312" w:eastAsia="仿宋_GB2312" w:cs="仿宋_GB2312"/>
          <w:sz w:val="32"/>
          <w:szCs w:val="32"/>
        </w:rPr>
        <w:t>3.22</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增加住房补贴</w:t>
      </w:r>
      <w:r>
        <w:rPr>
          <w:rFonts w:ascii="仿宋_GB2312" w:hAnsi="仿宋_GB2312" w:eastAsia="仿宋_GB2312" w:cs="仿宋_GB2312"/>
          <w:sz w:val="32"/>
          <w:szCs w:val="32"/>
        </w:rPr>
        <w:t>9.48</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住房公积金基数调整。</w:t>
      </w:r>
    </w:p>
    <w:p>
      <w:pPr>
        <w:ind w:firstLine="640"/>
        <w:rPr>
          <w:rFonts w:ascii="黑体" w:hAnsi="黑体" w:eastAsia="黑体" w:cs="Times New Roman"/>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年本部门支出预算</w:t>
      </w:r>
      <w:r>
        <w:rPr>
          <w:rFonts w:ascii="仿宋_GB2312" w:hAnsi="仿宋_GB2312" w:eastAsia="仿宋_GB2312" w:cs="仿宋_GB2312"/>
          <w:sz w:val="32"/>
          <w:szCs w:val="32"/>
        </w:rPr>
        <w:t>75.36</w:t>
      </w:r>
      <w:r>
        <w:rPr>
          <w:rFonts w:hint="eastAsia" w:ascii="仿宋_GB2312" w:hAnsi="仿宋_GB2312" w:eastAsia="仿宋_GB2312" w:cs="仿宋_GB2312"/>
          <w:sz w:val="32"/>
          <w:szCs w:val="32"/>
        </w:rPr>
        <w:t>万元，比上年增加</w:t>
      </w:r>
      <w:r>
        <w:rPr>
          <w:rFonts w:ascii="仿宋_GB2312" w:hAnsi="仿宋_GB2312" w:eastAsia="仿宋_GB2312" w:cs="仿宋_GB2312"/>
          <w:sz w:val="32"/>
          <w:szCs w:val="32"/>
        </w:rPr>
        <w:t>23.77</w:t>
      </w:r>
      <w:r>
        <w:rPr>
          <w:rFonts w:hint="eastAsia" w:ascii="仿宋_GB2312" w:hAnsi="仿宋_GB2312" w:eastAsia="仿宋_GB2312" w:cs="仿宋_GB2312"/>
          <w:sz w:val="32"/>
          <w:szCs w:val="32"/>
        </w:rPr>
        <w:t>万元，增加</w:t>
      </w:r>
      <w:r>
        <w:rPr>
          <w:rFonts w:ascii="仿宋_GB2312" w:hAnsi="仿宋_GB2312" w:eastAsia="仿宋_GB2312" w:cs="仿宋_GB2312"/>
          <w:sz w:val="32"/>
          <w:szCs w:val="32"/>
        </w:rPr>
        <w:t>46%</w:t>
      </w:r>
      <w:r>
        <w:rPr>
          <w:rFonts w:hint="eastAsia" w:ascii="仿宋_GB2312" w:hAnsi="仿宋_GB2312" w:eastAsia="仿宋_GB2312" w:cs="仿宋_GB2312"/>
          <w:sz w:val="32"/>
          <w:szCs w:val="32"/>
        </w:rPr>
        <w:t>，主要原因是</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增加职工医保缴费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增加住房补贴支出</w:t>
      </w:r>
      <w:r>
        <w:rPr>
          <w:rFonts w:ascii="仿宋_GB2312" w:hAnsi="仿宋_GB2312" w:eastAsia="仿宋_GB2312" w:cs="仿宋_GB2312"/>
          <w:sz w:val="32"/>
          <w:szCs w:val="32"/>
        </w:rPr>
        <w:t xml:space="preserve">;3. </w:t>
      </w:r>
      <w:r>
        <w:rPr>
          <w:rFonts w:hint="eastAsia" w:ascii="仿宋_GB2312" w:hAnsi="仿宋_GB2312" w:eastAsia="仿宋_GB2312" w:cs="仿宋_GB2312"/>
          <w:sz w:val="32"/>
          <w:szCs w:val="32"/>
        </w:rPr>
        <w:t>住房公积金基数调增。</w:t>
      </w:r>
    </w:p>
    <w:p>
      <w:pPr>
        <w:numPr>
          <w:ilvl w:val="0"/>
          <w:numId w:val="3"/>
        </w:numPr>
        <w:ind w:firstLine="640" w:firstLineChars="200"/>
        <w:rPr>
          <w:rFonts w:ascii="黑体" w:hAnsi="黑体" w:eastAsia="黑体" w:cs="Times New Roman"/>
          <w:sz w:val="32"/>
          <w:szCs w:val="32"/>
        </w:rPr>
      </w:pPr>
      <w:r>
        <w:rPr>
          <w:rFonts w:hint="eastAsia" w:ascii="黑体" w:hAnsi="黑体" w:eastAsia="黑体" w:cs="黑体"/>
          <w:sz w:val="32"/>
          <w:szCs w:val="32"/>
        </w:rPr>
        <w:t>“三公”经费安排情况说明</w:t>
      </w:r>
    </w:p>
    <w:p>
      <w:pPr>
        <w:ind w:firstLine="640"/>
        <w:rPr>
          <w:rFonts w:ascii="仿宋_GB2312" w:hAnsi="仿宋_GB2312" w:eastAsia="仿宋_GB2312" w:cs="Times New Roman"/>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年本部门“三公”经费预算安排</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万元，与上年保持不变。其中：因公出国（境）费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万元，与上年保持不变；公务用车购置及运行费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万元，与上年保持不变；公务接待费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万元，与上年保持不变。</w:t>
      </w:r>
    </w:p>
    <w:p>
      <w:pPr>
        <w:numPr>
          <w:ilvl w:val="0"/>
          <w:numId w:val="3"/>
        </w:numPr>
        <w:ind w:firstLine="640" w:firstLineChars="200"/>
        <w:rPr>
          <w:rFonts w:ascii="黑体" w:hAnsi="黑体" w:eastAsia="黑体" w:cs="Times New Roman"/>
          <w:sz w:val="32"/>
          <w:szCs w:val="32"/>
        </w:rPr>
      </w:pPr>
      <w:r>
        <w:rPr>
          <w:rFonts w:hint="eastAsia" w:ascii="黑体" w:hAnsi="黑体" w:eastAsia="黑体" w:cs="黑体"/>
          <w:sz w:val="32"/>
          <w:szCs w:val="32"/>
        </w:rPr>
        <w:t>机关运行经费安排情况</w:t>
      </w:r>
    </w:p>
    <w:p>
      <w:pPr>
        <w:rPr>
          <w:rFonts w:ascii="仿宋_GB2312" w:hAnsi="仿宋_GB2312" w:eastAsia="仿宋_GB2312" w:cs="Times New Roman"/>
          <w:sz w:val="32"/>
          <w:szCs w:val="32"/>
        </w:rPr>
      </w:pPr>
      <w:r>
        <w:rPr>
          <w:rFonts w:ascii="仿宋_GB2312" w:hAnsi="仿宋_GB2312" w:eastAsia="仿宋_GB2312" w:cs="仿宋_GB2312"/>
          <w:sz w:val="32"/>
          <w:szCs w:val="32"/>
        </w:rPr>
        <w:t xml:space="preserve">    2018</w:t>
      </w:r>
      <w:r>
        <w:rPr>
          <w:rFonts w:hint="eastAsia" w:ascii="仿宋_GB2312" w:hAnsi="仿宋_GB2312" w:eastAsia="仿宋_GB2312" w:cs="仿宋_GB2312"/>
          <w:sz w:val="32"/>
          <w:szCs w:val="32"/>
        </w:rPr>
        <w:t>年，本部门机关运行经费安排</w:t>
      </w:r>
      <w:r>
        <w:rPr>
          <w:rFonts w:ascii="仿宋_GB2312" w:hAnsi="仿宋_GB2312" w:eastAsia="仿宋_GB2312" w:cs="仿宋_GB2312"/>
          <w:sz w:val="32"/>
          <w:szCs w:val="32"/>
        </w:rPr>
        <w:t>22.32</w:t>
      </w:r>
      <w:r>
        <w:rPr>
          <w:rFonts w:hint="eastAsia" w:ascii="仿宋_GB2312" w:hAnsi="仿宋_GB2312" w:eastAsia="仿宋_GB2312" w:cs="仿宋_GB2312"/>
          <w:sz w:val="32"/>
          <w:szCs w:val="32"/>
        </w:rPr>
        <w:t>万元，比上年减少</w:t>
      </w:r>
      <w:r>
        <w:rPr>
          <w:rFonts w:ascii="仿宋_GB2312" w:hAnsi="仿宋_GB2312" w:eastAsia="仿宋_GB2312" w:cs="仿宋_GB2312"/>
          <w:sz w:val="32"/>
          <w:szCs w:val="32"/>
        </w:rPr>
        <w:t>1.62</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6.77%</w:t>
      </w:r>
      <w:r>
        <w:rPr>
          <w:rFonts w:hint="eastAsia" w:ascii="仿宋_GB2312" w:hAnsi="仿宋_GB2312" w:eastAsia="仿宋_GB2312" w:cs="仿宋_GB2312"/>
          <w:sz w:val="32"/>
          <w:szCs w:val="32"/>
        </w:rPr>
        <w:t>，主要原因：减少其他商品和服务支出</w:t>
      </w:r>
      <w:r>
        <w:rPr>
          <w:rFonts w:ascii="仿宋_GB2312" w:hAnsi="仿宋_GB2312" w:eastAsia="仿宋_GB2312" w:cs="仿宋_GB2312"/>
          <w:sz w:val="32"/>
          <w:szCs w:val="32"/>
        </w:rPr>
        <w:t>1.62</w:t>
      </w:r>
      <w:r>
        <w:rPr>
          <w:rFonts w:hint="eastAsia" w:ascii="仿宋_GB2312" w:hAnsi="仿宋_GB2312" w:eastAsia="仿宋_GB2312" w:cs="仿宋_GB2312"/>
          <w:sz w:val="32"/>
          <w:szCs w:val="32"/>
        </w:rPr>
        <w:t>万元。</w:t>
      </w:r>
    </w:p>
    <w:p>
      <w:pPr>
        <w:numPr>
          <w:ilvl w:val="0"/>
          <w:numId w:val="3"/>
        </w:numPr>
        <w:ind w:left="141" w:leftChars="67" w:firstLine="707" w:firstLineChars="221"/>
        <w:rPr>
          <w:rFonts w:ascii="黑体" w:hAnsi="黑体" w:eastAsia="黑体" w:cs="Times New Roman"/>
          <w:sz w:val="32"/>
          <w:szCs w:val="32"/>
        </w:rPr>
      </w:pPr>
      <w:r>
        <w:rPr>
          <w:rFonts w:hint="eastAsia" w:ascii="黑体" w:hAnsi="黑体" w:eastAsia="黑体" w:cs="黑体"/>
          <w:sz w:val="32"/>
          <w:szCs w:val="32"/>
        </w:rPr>
        <w:t>政府采购情况</w:t>
      </w:r>
    </w:p>
    <w:p>
      <w:pPr>
        <w:ind w:left="141" w:leftChars="67" w:firstLine="707" w:firstLineChars="221"/>
        <w:rPr>
          <w:rFonts w:ascii="仿宋_GB2312" w:hAnsi="仿宋_GB2312" w:eastAsia="仿宋_GB2312" w:cs="Times New Roman"/>
          <w:sz w:val="32"/>
          <w:szCs w:val="32"/>
        </w:rPr>
      </w:pPr>
      <w:r>
        <w:rPr>
          <w:rFonts w:ascii="仿宋_GB2312" w:hAnsi="仿宋_GB2312" w:eastAsia="仿宋_GB2312" w:cs="仿宋_GB2312"/>
          <w:sz w:val="32"/>
          <w:szCs w:val="32"/>
        </w:rPr>
        <w:t xml:space="preserve">    2018</w:t>
      </w:r>
      <w:r>
        <w:rPr>
          <w:rFonts w:hint="eastAsia" w:ascii="仿宋_GB2312" w:hAnsi="仿宋_GB2312" w:eastAsia="仿宋_GB2312" w:cs="仿宋_GB2312"/>
          <w:sz w:val="32"/>
          <w:szCs w:val="32"/>
        </w:rPr>
        <w:t>年本没有安排部门政府采购。</w:t>
      </w:r>
    </w:p>
    <w:p>
      <w:pPr>
        <w:numPr>
          <w:ilvl w:val="0"/>
          <w:numId w:val="3"/>
        </w:numPr>
        <w:ind w:left="141" w:leftChars="67" w:firstLine="707" w:firstLineChars="221"/>
        <w:rPr>
          <w:rFonts w:ascii="黑体" w:hAnsi="黑体" w:eastAsia="黑体" w:cs="Times New Roman"/>
          <w:sz w:val="32"/>
          <w:szCs w:val="32"/>
        </w:rPr>
      </w:pPr>
      <w:r>
        <w:rPr>
          <w:rFonts w:hint="eastAsia" w:ascii="黑体" w:hAnsi="黑体" w:eastAsia="黑体" w:cs="黑体"/>
          <w:sz w:val="32"/>
          <w:szCs w:val="32"/>
        </w:rPr>
        <w:t>国有资产占有使用情况</w:t>
      </w:r>
    </w:p>
    <w:p>
      <w:pPr>
        <w:ind w:left="141" w:leftChars="67" w:firstLine="707" w:firstLineChars="221"/>
        <w:rPr>
          <w:rFonts w:ascii="仿宋_GB2312" w:hAnsi="仿宋_GB2312" w:eastAsia="仿宋_GB2312" w:cs="Times New Roman"/>
          <w:sz w:val="32"/>
          <w:szCs w:val="32"/>
        </w:rPr>
      </w:pPr>
      <w:r>
        <w:rPr>
          <w:rFonts w:hint="eastAsia" w:ascii="仿宋_GB2312" w:eastAsia="仿宋_GB2312"/>
          <w:sz w:val="32"/>
          <w:szCs w:val="32"/>
        </w:rPr>
        <w:t>截至</w:t>
      </w:r>
      <w:r>
        <w:rPr>
          <w:rFonts w:ascii="仿宋_GB2312" w:eastAsia="仿宋_GB2312"/>
          <w:sz w:val="32"/>
          <w:szCs w:val="32"/>
        </w:rPr>
        <w:t>2017</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日，本部门本部门资产总值</w:t>
      </w:r>
      <w:r>
        <w:rPr>
          <w:rFonts w:ascii="仿宋_GB2312" w:eastAsia="仿宋_GB2312"/>
          <w:sz w:val="32"/>
          <w:szCs w:val="32"/>
        </w:rPr>
        <w:t>1.33</w:t>
      </w:r>
      <w:r>
        <w:rPr>
          <w:rFonts w:hint="eastAsia" w:ascii="仿宋_GB2312" w:eastAsia="仿宋_GB2312"/>
          <w:sz w:val="32"/>
          <w:szCs w:val="32"/>
        </w:rPr>
        <w:t>万元，</w:t>
      </w:r>
      <w:r>
        <w:rPr>
          <w:rFonts w:hint="eastAsia" w:ascii="仿宋_GB2312" w:hAnsi="仿宋_GB2312" w:eastAsia="仿宋_GB2312" w:cs="仿宋_GB2312"/>
          <w:sz w:val="32"/>
          <w:szCs w:val="32"/>
        </w:rPr>
        <w:t>均为办公设备</w:t>
      </w:r>
      <w:r>
        <w:rPr>
          <w:rFonts w:ascii="仿宋_GB2312" w:hAnsi="仿宋_GB2312" w:eastAsia="仿宋_GB2312" w:cs="仿宋_GB2312"/>
          <w:sz w:val="32"/>
          <w:szCs w:val="32"/>
        </w:rPr>
        <w:t>,</w:t>
      </w:r>
      <w:r>
        <w:rPr>
          <w:rFonts w:hint="eastAsia" w:ascii="仿宋_GB2312" w:eastAsia="仿宋_GB2312"/>
          <w:sz w:val="32"/>
          <w:szCs w:val="32"/>
        </w:rPr>
        <w:t>年末无公车</w:t>
      </w:r>
      <w:r>
        <w:rPr>
          <w:rFonts w:hint="eastAsia" w:ascii="仿宋_GB2312" w:hAnsi="仿宋_GB2312" w:eastAsia="仿宋_GB2312" w:cs="仿宋_GB2312"/>
          <w:sz w:val="32"/>
          <w:szCs w:val="32"/>
        </w:rPr>
        <w:t>。</w:t>
      </w:r>
      <w:r>
        <w:rPr>
          <w:rFonts w:hint="eastAsia" w:ascii="仿宋_GB2312" w:eastAsia="仿宋_GB2312"/>
          <w:sz w:val="32"/>
          <w:szCs w:val="32"/>
        </w:rPr>
        <w:t>单位没有价值</w:t>
      </w:r>
      <w:r>
        <w:rPr>
          <w:rFonts w:ascii="仿宋_GB2312" w:eastAsia="仿宋_GB2312"/>
          <w:sz w:val="32"/>
          <w:szCs w:val="32"/>
        </w:rPr>
        <w:t>50</w:t>
      </w:r>
      <w:r>
        <w:rPr>
          <w:rFonts w:hint="eastAsia" w:ascii="仿宋_GB2312" w:eastAsia="仿宋_GB2312"/>
          <w:sz w:val="32"/>
          <w:szCs w:val="32"/>
        </w:rPr>
        <w:t>万元以上通用设备，没有单价</w:t>
      </w:r>
      <w:r>
        <w:rPr>
          <w:rFonts w:ascii="仿宋_GB2312" w:eastAsia="仿宋_GB2312"/>
          <w:sz w:val="32"/>
          <w:szCs w:val="32"/>
        </w:rPr>
        <w:t>100</w:t>
      </w:r>
      <w:r>
        <w:rPr>
          <w:rFonts w:hint="eastAsia" w:ascii="仿宋_GB2312" w:eastAsia="仿宋_GB2312"/>
          <w:sz w:val="32"/>
          <w:szCs w:val="32"/>
        </w:rPr>
        <w:t>万元以上专用设备。</w:t>
      </w:r>
    </w:p>
    <w:p>
      <w:pPr>
        <w:numPr>
          <w:ilvl w:val="0"/>
          <w:numId w:val="3"/>
        </w:numPr>
        <w:ind w:left="141" w:leftChars="67" w:firstLine="707" w:firstLineChars="221"/>
        <w:rPr>
          <w:rFonts w:ascii="黑体" w:hAnsi="黑体" w:eastAsia="黑体" w:cs="Times New Roman"/>
          <w:sz w:val="32"/>
          <w:szCs w:val="32"/>
        </w:rPr>
      </w:pPr>
      <w:r>
        <w:rPr>
          <w:rFonts w:hint="eastAsia" w:ascii="黑体" w:hAnsi="黑体" w:eastAsia="黑体" w:cs="黑体"/>
          <w:sz w:val="32"/>
          <w:szCs w:val="32"/>
        </w:rPr>
        <w:t>预算绩效信息公开情况</w:t>
      </w:r>
      <w:r>
        <w:rPr>
          <w:rFonts w:hint="eastAsia" w:ascii="黑体" w:hAnsi="黑体" w:eastAsia="黑体" w:cs="黑体"/>
          <w:sz w:val="32"/>
          <w:szCs w:val="32"/>
          <w:lang w:val="en-US" w:eastAsia="zh-CN"/>
        </w:rPr>
        <w:t>:不适用。</w:t>
      </w:r>
    </w:p>
    <w:p>
      <w:pPr>
        <w:ind w:firstLine="640" w:firstLineChars="200"/>
        <w:rPr>
          <w:rFonts w:ascii="仿宋_GB2312" w:hAnsi="仿宋_GB2312" w:eastAsia="仿宋_GB2312" w:cs="仿宋_GB2312"/>
          <w:sz w:val="32"/>
          <w:szCs w:val="32"/>
        </w:rPr>
      </w:pPr>
    </w:p>
    <w:p>
      <w:pPr>
        <w:jc w:val="center"/>
        <w:rPr>
          <w:rFonts w:ascii="方正小标宋简体" w:hAnsi="方正小标宋简体" w:eastAsia="方正小标宋简体" w:cs="Times New Roman"/>
          <w:b/>
          <w:bCs/>
          <w:sz w:val="44"/>
          <w:szCs w:val="44"/>
        </w:rPr>
      </w:pPr>
      <w:r>
        <w:rPr>
          <w:rFonts w:hint="eastAsia" w:ascii="方正小标宋简体" w:hAnsi="方正小标宋简体" w:eastAsia="方正小标宋简体" w:cs="方正小标宋简体"/>
          <w:b/>
          <w:bCs/>
          <w:sz w:val="44"/>
          <w:szCs w:val="44"/>
        </w:rPr>
        <w:t>第四部分</w:t>
      </w:r>
      <w:r>
        <w:rPr>
          <w:rFonts w:ascii="方正小标宋简体" w:hAnsi="方正小标宋简体" w:eastAsia="方正小标宋简体" w:cs="方正小标宋简体"/>
          <w:b/>
          <w:bCs/>
          <w:sz w:val="44"/>
          <w:szCs w:val="44"/>
        </w:rPr>
        <w:t xml:space="preserve">  </w:t>
      </w:r>
      <w:r>
        <w:rPr>
          <w:rFonts w:hint="eastAsia" w:ascii="方正小标宋简体" w:hAnsi="方正小标宋简体" w:eastAsia="方正小标宋简体" w:cs="方正小标宋简体"/>
          <w:b/>
          <w:bCs/>
          <w:sz w:val="44"/>
          <w:szCs w:val="44"/>
        </w:rPr>
        <w:t>名词解释</w:t>
      </w:r>
    </w:p>
    <w:p>
      <w:pPr>
        <w:numPr>
          <w:ilvl w:val="0"/>
          <w:numId w:val="4"/>
        </w:numPr>
        <w:spacing w:line="288" w:lineRule="auto"/>
        <w:ind w:firstLine="630" w:firstLineChars="196"/>
        <w:rPr>
          <w:rFonts w:ascii="仿宋_GB2312" w:eastAsia="仿宋_GB2312"/>
          <w:sz w:val="32"/>
          <w:szCs w:val="32"/>
        </w:rPr>
      </w:pPr>
      <w:r>
        <w:rPr>
          <w:rFonts w:hint="eastAsia" w:ascii="仿宋_GB2312" w:eastAsia="仿宋_GB2312" w:cs="Times New Roman"/>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w:t>
      </w:r>
      <w:r>
        <w:rPr>
          <w:rFonts w:ascii="仿宋_GB2312" w:eastAsia="仿宋_GB2312"/>
          <w:sz w:val="32"/>
          <w:szCs w:val="32"/>
        </w:rPr>
        <w:t xml:space="preserve"> </w:t>
      </w:r>
      <w:r>
        <w:rPr>
          <w:rFonts w:hint="eastAsia" w:ascii="仿宋_GB2312" w:eastAsia="仿宋_GB2312"/>
          <w:sz w:val="32"/>
          <w:szCs w:val="32"/>
        </w:rPr>
        <w:t>“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w:t>
      </w:r>
      <w:r>
        <w:rPr>
          <w:rFonts w:ascii="仿宋_GB2312" w:hAnsi="宋体" w:eastAsia="仿宋_GB2312" w:cs="宋体"/>
          <w:kern w:val="0"/>
          <w:sz w:val="32"/>
          <w:szCs w:val="32"/>
        </w:rPr>
        <w:t>1</w:t>
      </w:r>
      <w:r>
        <w:rPr>
          <w:rFonts w:hint="eastAsia" w:ascii="仿宋_GB2312" w:hAnsi="宋体" w:eastAsia="仿宋_GB2312" w:cs="宋体"/>
          <w:kern w:val="0"/>
          <w:sz w:val="32"/>
          <w:szCs w:val="32"/>
        </w:rPr>
        <w:t>）因公出国（境）费，指单位工作人员公务出国（境）的住宿费、旅费、伙食补助费、杂费、培训费等支出。（</w:t>
      </w:r>
      <w:r>
        <w:rPr>
          <w:rFonts w:ascii="仿宋_GB2312" w:hAnsi="宋体" w:eastAsia="仿宋_GB2312" w:cs="宋体"/>
          <w:kern w:val="0"/>
          <w:sz w:val="32"/>
          <w:szCs w:val="32"/>
        </w:rPr>
        <w:t>2</w:t>
      </w:r>
      <w:r>
        <w:rPr>
          <w:rFonts w:hint="eastAsia" w:ascii="仿宋_GB2312" w:hAnsi="宋体" w:eastAsia="仿宋_GB2312" w:cs="宋体"/>
          <w:kern w:val="0"/>
          <w:sz w:val="32"/>
          <w:szCs w:val="32"/>
        </w:rPr>
        <w:t>）公务用车购置及运行费，指单位公务用车购置费及租用费、燃料费、维修费、过路过桥费、保险费、安全奖励费用等支出。公务用车指用于履行公务的机动车辆，包括领导干部专车、一般公务用车和执法执勤用车。（</w:t>
      </w:r>
      <w:r>
        <w:rPr>
          <w:rFonts w:ascii="仿宋_GB2312" w:hAnsi="宋体" w:eastAsia="仿宋_GB2312" w:cs="宋体"/>
          <w:kern w:val="0"/>
          <w:sz w:val="32"/>
          <w:szCs w:val="32"/>
        </w:rPr>
        <w:t>3</w:t>
      </w:r>
      <w:r>
        <w:rPr>
          <w:rFonts w:hint="eastAsia" w:ascii="仿宋_GB2312" w:hAnsi="宋体" w:eastAsia="仿宋_GB2312" w:cs="宋体"/>
          <w:kern w:val="0"/>
          <w:sz w:val="32"/>
          <w:szCs w:val="32"/>
        </w:rPr>
        <w:t>）公务接待费，指单位按规定开支的各类公务接待（含外宾接待）支出。</w:t>
      </w:r>
    </w:p>
    <w:p>
      <w:pPr>
        <w:ind w:firstLine="643" w:firstLineChars="200"/>
        <w:jc w:val="left"/>
        <w:rPr>
          <w:rFonts w:ascii="楷体_GB2312" w:hAnsi="楷体_GB2312" w:eastAsia="楷体_GB2312" w:cs="Times New Roman"/>
          <w:sz w:val="32"/>
          <w:szCs w:val="32"/>
          <w:highlight w:val="lightGray"/>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firstLine="565" w:firstLineChars="176"/>
        <w:rPr>
          <w:rFonts w:ascii="仿宋_GB2312" w:hAnsi="仿宋_GB2312" w:eastAsia="仿宋_GB2312" w:cs="Times New Roman"/>
          <w:sz w:val="32"/>
          <w:szCs w:val="32"/>
        </w:rPr>
      </w:pPr>
      <w:r>
        <w:rPr>
          <w:rFonts w:hint="eastAsia" w:ascii="仿宋_GB2312" w:eastAsia="仿宋_GB2312"/>
          <w:b/>
          <w:sz w:val="32"/>
          <w:szCs w:val="32"/>
        </w:rPr>
        <w:t>十四、行政经费：</w:t>
      </w:r>
      <w:r>
        <w:rPr>
          <w:rFonts w:hint="eastAsia" w:ascii="仿宋_GB2312" w:hAnsi="仿宋_GB2312" w:eastAsia="仿宋_GB2312" w:cs="仿宋_GB2312"/>
          <w:sz w:val="32"/>
          <w:szCs w:val="32"/>
        </w:rPr>
        <w:t>包括</w:t>
      </w: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rPr>
        <w:t>基本支出。一是包括工资、津贴及奖金、医疗费、住房补贴等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不包括离退休支出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包括离退休人员管理机</w:t>
      </w:r>
      <w:r>
        <w:rPr>
          <w:rFonts w:hint="eastAsia" w:ascii="宋体" w:hAnsi="宋体" w:cs="宋体"/>
          <w:sz w:val="32"/>
          <w:szCs w:val="32"/>
        </w:rPr>
        <w:t>枃</w:t>
      </w:r>
      <w:r>
        <w:rPr>
          <w:rFonts w:hint="eastAsia" w:ascii="仿宋_GB2312" w:hAnsi="仿宋_GB2312" w:eastAsia="仿宋_GB2312" w:cs="仿宋_GB2312"/>
          <w:sz w:val="32"/>
          <w:szCs w:val="32"/>
        </w:rPr>
        <w:t>的在职人员支出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基本支出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二是包括办公及印刷费、水电费、邮电费、取暖费、交通费、差旅费、会议费、福利费、物业管理费、日常维修费、专用材料费、一般购置费等公用经费支出。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非行政单位不纳入统计范围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一般行政管理项目支出。具体包括出国费、招待费、会议费、办公用房维修租赁、购置费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包括设备、计算机、车辆等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、干部培训费、执法部门办案、信息网络运行维护等。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宋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0F3C52" w:usb2="00000016" w:usb3="00000000" w:csb0="0004001F" w:csb1="00000000"/>
  </w:font>
  <w:font w:name="仿宋">
    <w:altName w:val="Arial Unicode MS"/>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rPr>
        <w:rFonts w:cs="Times New Roman"/>
      </w:rPr>
    </w:lvl>
  </w:abstractNum>
  <w:abstractNum w:abstractNumId="1">
    <w:nsid w:val="5A5F2384"/>
    <w:multiLevelType w:val="singleLevel"/>
    <w:tmpl w:val="5A5F2384"/>
    <w:lvl w:ilvl="0" w:tentative="0">
      <w:start w:val="1"/>
      <w:numFmt w:val="chineseCounting"/>
      <w:suff w:val="nothing"/>
      <w:lvlText w:val="%1、"/>
      <w:lvlJc w:val="left"/>
      <w:rPr>
        <w:rFonts w:cs="Times New Roman"/>
      </w:rPr>
    </w:lvl>
  </w:abstractNum>
  <w:abstractNum w:abstractNumId="2">
    <w:nsid w:val="5A5F50C1"/>
    <w:multiLevelType w:val="singleLevel"/>
    <w:tmpl w:val="5A5F50C1"/>
    <w:lvl w:ilvl="0" w:tentative="0">
      <w:start w:val="1"/>
      <w:numFmt w:val="chineseCounting"/>
      <w:suff w:val="nothing"/>
      <w:lvlText w:val="%1、"/>
      <w:lvlJc w:val="left"/>
      <w:rPr>
        <w:rFonts w:cs="Times New Roman"/>
      </w:rPr>
    </w:lvl>
  </w:abstractNum>
  <w:abstractNum w:abstractNumId="3">
    <w:nsid w:val="5A600927"/>
    <w:multiLevelType w:val="singleLevel"/>
    <w:tmpl w:val="5A600927"/>
    <w:lvl w:ilvl="0" w:tentative="0">
      <w:start w:val="1"/>
      <w:numFmt w:val="chineseCounting"/>
      <w:suff w:val="nothing"/>
      <w:lvlText w:val="%1、"/>
      <w:lvlJc w:val="left"/>
      <w:rPr>
        <w:rFonts w:cs="Times New Roman"/>
      </w:rPr>
    </w:lvl>
  </w:abstractNum>
  <w:num w:numId="1">
    <w:abstractNumId w:val="0"/>
  </w:num>
  <w:num w:numId="2">
    <w:abstractNumId w:val="1"/>
  </w:num>
  <w:num w:numId="3">
    <w:abstractNumId w:val="3"/>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dit="forms"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5FA"/>
    <w:rsid w:val="000023B1"/>
    <w:rsid w:val="00007E33"/>
    <w:rsid w:val="00040C86"/>
    <w:rsid w:val="00043FFF"/>
    <w:rsid w:val="00082D6C"/>
    <w:rsid w:val="000A1C5D"/>
    <w:rsid w:val="000C549E"/>
    <w:rsid w:val="000C7F2E"/>
    <w:rsid w:val="00170D99"/>
    <w:rsid w:val="001B214B"/>
    <w:rsid w:val="001C3288"/>
    <w:rsid w:val="001E1927"/>
    <w:rsid w:val="001E3EAF"/>
    <w:rsid w:val="001F1CE9"/>
    <w:rsid w:val="00270BF3"/>
    <w:rsid w:val="00274487"/>
    <w:rsid w:val="00280018"/>
    <w:rsid w:val="002A6EF3"/>
    <w:rsid w:val="002B3CA4"/>
    <w:rsid w:val="00310CB1"/>
    <w:rsid w:val="00310F25"/>
    <w:rsid w:val="00325012"/>
    <w:rsid w:val="00340BBE"/>
    <w:rsid w:val="003C4EF5"/>
    <w:rsid w:val="003F4DF0"/>
    <w:rsid w:val="004311F2"/>
    <w:rsid w:val="00457973"/>
    <w:rsid w:val="0048044A"/>
    <w:rsid w:val="004B1776"/>
    <w:rsid w:val="004B1A95"/>
    <w:rsid w:val="004D3CD4"/>
    <w:rsid w:val="005228AB"/>
    <w:rsid w:val="005257CA"/>
    <w:rsid w:val="0055749D"/>
    <w:rsid w:val="005C5F68"/>
    <w:rsid w:val="005D0FF4"/>
    <w:rsid w:val="0064307C"/>
    <w:rsid w:val="00650FA0"/>
    <w:rsid w:val="00696EC1"/>
    <w:rsid w:val="006E656A"/>
    <w:rsid w:val="007070E7"/>
    <w:rsid w:val="007750DB"/>
    <w:rsid w:val="0078185E"/>
    <w:rsid w:val="007854B3"/>
    <w:rsid w:val="0079357E"/>
    <w:rsid w:val="007D27E5"/>
    <w:rsid w:val="007D33FC"/>
    <w:rsid w:val="007E2CBE"/>
    <w:rsid w:val="007E5559"/>
    <w:rsid w:val="007E6DBB"/>
    <w:rsid w:val="007F34CA"/>
    <w:rsid w:val="00805EF7"/>
    <w:rsid w:val="00845089"/>
    <w:rsid w:val="008805E3"/>
    <w:rsid w:val="008A2245"/>
    <w:rsid w:val="009737FE"/>
    <w:rsid w:val="00985650"/>
    <w:rsid w:val="00987044"/>
    <w:rsid w:val="00A027A4"/>
    <w:rsid w:val="00A70435"/>
    <w:rsid w:val="00A863AE"/>
    <w:rsid w:val="00B45154"/>
    <w:rsid w:val="00B83294"/>
    <w:rsid w:val="00BA45FA"/>
    <w:rsid w:val="00BC1F8B"/>
    <w:rsid w:val="00C44E19"/>
    <w:rsid w:val="00C56922"/>
    <w:rsid w:val="00CA325B"/>
    <w:rsid w:val="00D27C14"/>
    <w:rsid w:val="00D94521"/>
    <w:rsid w:val="00DA6EFC"/>
    <w:rsid w:val="00DF12E9"/>
    <w:rsid w:val="00E55744"/>
    <w:rsid w:val="00E70AA7"/>
    <w:rsid w:val="00EA6E9F"/>
    <w:rsid w:val="00EF1F08"/>
    <w:rsid w:val="00F1553E"/>
    <w:rsid w:val="00F52BDE"/>
    <w:rsid w:val="00F56235"/>
    <w:rsid w:val="00FE3826"/>
    <w:rsid w:val="13016A31"/>
    <w:rsid w:val="20EE6A13"/>
    <w:rsid w:val="3536168E"/>
    <w:rsid w:val="36E602DD"/>
    <w:rsid w:val="375212F6"/>
    <w:rsid w:val="39F31DA1"/>
    <w:rsid w:val="3FAE531B"/>
    <w:rsid w:val="50CB6A87"/>
    <w:rsid w:val="60E37A9B"/>
    <w:rsid w:val="66D06120"/>
    <w:rsid w:val="6D9B07DA"/>
    <w:rsid w:val="7041687E"/>
    <w:rsid w:val="72931D9C"/>
    <w:rsid w:val="7A3D11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semiHidden/>
    <w:qFormat/>
    <w:uiPriority w:val="99"/>
    <w:pPr>
      <w:ind w:left="100" w:leftChars="250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er Char"/>
    <w:basedOn w:val="5"/>
    <w:link w:val="4"/>
    <w:qFormat/>
    <w:locked/>
    <w:uiPriority w:val="99"/>
    <w:rPr>
      <w:rFonts w:ascii="Calibri" w:hAnsi="Calibri" w:cs="Calibri"/>
      <w:kern w:val="2"/>
      <w:sz w:val="18"/>
      <w:szCs w:val="18"/>
    </w:rPr>
  </w:style>
  <w:style w:type="character" w:customStyle="1" w:styleId="8">
    <w:name w:val="Footer Char"/>
    <w:basedOn w:val="5"/>
    <w:link w:val="3"/>
    <w:qFormat/>
    <w:locked/>
    <w:uiPriority w:val="99"/>
    <w:rPr>
      <w:rFonts w:ascii="Calibri" w:hAnsi="Calibri" w:cs="Calibri"/>
      <w:kern w:val="2"/>
      <w:sz w:val="18"/>
      <w:szCs w:val="18"/>
    </w:rPr>
  </w:style>
  <w:style w:type="character" w:customStyle="1" w:styleId="9">
    <w:name w:val="Date Char"/>
    <w:basedOn w:val="5"/>
    <w:link w:val="2"/>
    <w:semiHidden/>
    <w:qFormat/>
    <w:locked/>
    <w:uiPriority w:val="99"/>
    <w:rPr>
      <w:rFonts w:ascii="Calibri" w:hAnsi="Calibri" w:cs="Calibri"/>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9</Pages>
  <Words>380</Words>
  <Characters>2171</Characters>
  <Lines>0</Lines>
  <Paragraphs>0</Paragraphs>
  <TotalTime>4</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2018-04-03T01:49:00Z</dcterms:created>
  <dc:creator>huangzj</dc:creator>
  <cp:lastModifiedBy>rcqzgh</cp:lastModifiedBy>
  <cp:lastPrinted>2018-02-09T07:39:00Z</cp:lastPrinted>
  <dcterms:modified xsi:type="dcterms:W3CDTF">2018-04-04T04:51:18Z</dcterms:modified>
  <dc:title>**年</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