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w:t>
      </w:r>
    </w:p>
    <w:p>
      <w:pPr>
        <w:ind w:left="420"/>
        <w:jc w:val="center"/>
        <w:rPr>
          <w:rFonts w:ascii="黑体" w:hAnsi="宋体" w:eastAsia="黑体"/>
          <w:b/>
          <w:sz w:val="44"/>
          <w:szCs w:val="44"/>
        </w:rPr>
      </w:pPr>
      <w:r>
        <w:rPr>
          <w:rFonts w:ascii="方正小标宋简体" w:eastAsia="方正小标宋简体"/>
          <w:sz w:val="44"/>
          <w:szCs w:val="44"/>
        </w:rPr>
        <w:br w:type="page"/>
      </w: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仿宋_GB2312" w:hAnsi="宋体"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榕城区总工会概况</w:t>
      </w:r>
    </w:p>
    <w:p>
      <w:pPr>
        <w:spacing w:line="288" w:lineRule="auto"/>
        <w:ind w:left="800"/>
        <w:rPr>
          <w:rFonts w:ascii="仿宋_GB2312" w:eastAsia="仿宋_GB2312"/>
          <w:sz w:val="32"/>
          <w:szCs w:val="32"/>
        </w:rPr>
      </w:pPr>
      <w:r>
        <w:rPr>
          <w:rFonts w:hint="eastAsia" w:ascii="仿宋_GB2312" w:eastAsia="仿宋_GB2312"/>
          <w:sz w:val="32"/>
          <w:szCs w:val="32"/>
        </w:rPr>
        <w:t>一、部门职责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榕城区总工会概况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50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榕城区总工会是区委领导下负责工会工作的群众团体。其主要任务是：</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（一）贯彻落实党和国家关于工会工作的方针政策，研究、制订全区工会工作计划，并组织实施。</w:t>
      </w:r>
    </w:p>
    <w:p>
      <w:pPr>
        <w:spacing w:line="500" w:lineRule="exact"/>
        <w:ind w:firstLine="467" w:firstLineChars="146"/>
        <w:rPr>
          <w:rFonts w:ascii="仿宋_GB2312" w:hAnsi="宋体" w:eastAsia="仿宋_GB2312"/>
          <w:bCs/>
          <w:color w:val="000000"/>
          <w:sz w:val="32"/>
          <w:szCs w:val="32"/>
        </w:rPr>
      </w:pPr>
      <w:r>
        <w:rPr>
          <w:rFonts w:hint="eastAsia" w:ascii="仿宋_GB2312" w:hAnsi="宋体" w:eastAsia="仿宋_GB2312"/>
          <w:bCs/>
          <w:color w:val="000000"/>
          <w:sz w:val="32"/>
          <w:szCs w:val="32"/>
        </w:rPr>
        <w:t>（二）依法组建工会和发展工会会员。指导基层工会的组织建设，做好工会干部培训教育工作。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（三）指导基层工会参与民主管理，对企事业的劳动安全卫生保护实施职工群众监督检查，依法调处劳动关系。</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（四）协助有关部门做好职工生活福利和社会保障工作，维护职工合法权益。</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（五）组织、指导职工开展劳动竞赛、技术革新、合理化建议、职工群众科技活动，做好劳模、先进生产（工作）者及先进集体的评选推荐和管理工作。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（六）指导基层工会开展职工的政治思想、文化、技术教育和健康的文体、娱乐活动。</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（七）承办区委和市总工会交办的其他事项。</w:t>
      </w:r>
    </w:p>
    <w:p>
      <w:pPr>
        <w:spacing w:line="288" w:lineRule="auto"/>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ind w:firstLine="555"/>
        <w:jc w:val="left"/>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按照部门决算编报要求</w:t>
      </w:r>
      <w:r>
        <w:rPr>
          <w:rFonts w:hint="eastAsia" w:ascii="仿宋_GB2312" w:eastAsia="仿宋_GB2312"/>
          <w:sz w:val="32"/>
          <w:szCs w:val="32"/>
          <w:lang w:val="en-US" w:eastAsia="zh-CN"/>
        </w:rPr>
        <w:t>。</w:t>
      </w:r>
      <w:r>
        <w:rPr>
          <w:rFonts w:hint="eastAsia" w:ascii="仿宋_GB2312" w:eastAsia="仿宋_GB2312"/>
          <w:sz w:val="32"/>
          <w:szCs w:val="32"/>
        </w:rPr>
        <w:t>榕城区总工会设</w:t>
      </w:r>
      <w:r>
        <w:rPr>
          <w:rFonts w:ascii="仿宋_GB2312" w:eastAsia="仿宋_GB2312"/>
          <w:sz w:val="32"/>
          <w:szCs w:val="32"/>
        </w:rPr>
        <w:t>2</w:t>
      </w:r>
      <w:r>
        <w:rPr>
          <w:rFonts w:hint="eastAsia" w:ascii="仿宋_GB2312" w:eastAsia="仿宋_GB2312"/>
          <w:sz w:val="32"/>
          <w:szCs w:val="32"/>
        </w:rPr>
        <w:t>个内设机构：办公室、综合业务部。</w:t>
      </w:r>
    </w:p>
    <w:p>
      <w:pPr>
        <w:ind w:firstLine="588" w:firstLineChars="196"/>
        <w:rPr>
          <w:rFonts w:hint="eastAsia" w:ascii="仿宋_GB2312" w:hAnsi="宋体" w:eastAsia="仿宋_GB2312"/>
          <w:color w:val="000000"/>
          <w:sz w:val="30"/>
          <w:szCs w:val="30"/>
        </w:rPr>
      </w:pPr>
      <w:r>
        <w:rPr>
          <w:rFonts w:hint="eastAsia" w:ascii="仿宋_GB2312" w:hAnsi="宋体" w:eastAsia="仿宋_GB2312"/>
          <w:color w:val="000000"/>
          <w:sz w:val="30"/>
          <w:szCs w:val="30"/>
        </w:rPr>
        <w:t>我会行政编制5人，工人文化宫事业编制5人，共</w:t>
      </w:r>
      <w:r>
        <w:rPr>
          <w:rFonts w:hint="eastAsia" w:ascii="仿宋_GB2312" w:hAnsi="宋体" w:eastAsia="仿宋_GB2312"/>
          <w:color w:val="000000"/>
          <w:sz w:val="30"/>
          <w:szCs w:val="30"/>
          <w:lang w:val="en-US" w:eastAsia="zh-CN"/>
        </w:rPr>
        <w:t>10</w:t>
      </w:r>
      <w:bookmarkStart w:id="0" w:name="_GoBack"/>
      <w:bookmarkEnd w:id="0"/>
      <w:r>
        <w:rPr>
          <w:rFonts w:hint="eastAsia" w:ascii="仿宋_GB2312" w:hAnsi="宋体" w:eastAsia="仿宋_GB2312"/>
          <w:color w:val="000000"/>
          <w:sz w:val="30"/>
          <w:szCs w:val="30"/>
        </w:rPr>
        <w:t>人。</w:t>
      </w:r>
    </w:p>
    <w:p>
      <w:pPr>
        <w:ind w:firstLine="555"/>
        <w:jc w:val="left"/>
        <w:rPr>
          <w:rFonts w:hint="eastAsia"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（二）部门预算为本级预算。</w:t>
      </w:r>
    </w:p>
    <w:p>
      <w:pPr>
        <w:ind w:firstLine="555"/>
        <w:jc w:val="left"/>
        <w:rPr>
          <w:rFonts w:ascii="仿宋_GB2312" w:eastAsia="仿宋_GB2312"/>
          <w:sz w:val="32"/>
          <w:szCs w:val="32"/>
        </w:rPr>
      </w:pPr>
    </w:p>
    <w:p>
      <w:pPr>
        <w:ind w:firstLine="555"/>
        <w:jc w:val="left"/>
        <w:rPr>
          <w:rFonts w:ascii="仿宋_GB2312"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2016</w:t>
      </w:r>
      <w:r>
        <w:rPr>
          <w:rFonts w:hint="eastAsia" w:ascii="宋体" w:hAnsi="宋体"/>
          <w:b/>
          <w:sz w:val="36"/>
          <w:szCs w:val="36"/>
        </w:rPr>
        <w:t>年部门决算表</w:t>
      </w:r>
    </w:p>
    <w:tbl>
      <w:tblPr>
        <w:tblStyle w:val="8"/>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ind w:firstLine="555"/>
              <w:jc w:val="left"/>
              <w:rPr>
                <w:rFonts w:ascii="仿宋_GB2312" w:eastAsia="仿宋_GB2312"/>
                <w:sz w:val="32"/>
                <w:szCs w:val="32"/>
              </w:rPr>
            </w:pPr>
            <w:r>
              <w:rPr>
                <w:rFonts w:hint="eastAsia" w:ascii="仿宋_GB2312" w:eastAsia="仿宋_GB2312"/>
                <w:sz w:val="32"/>
                <w:szCs w:val="32"/>
              </w:rPr>
              <w:t>各部门应当公开</w:t>
            </w:r>
            <w:r>
              <w:rPr>
                <w:rFonts w:ascii="仿宋_GB2312" w:eastAsia="仿宋_GB2312"/>
                <w:sz w:val="32"/>
                <w:szCs w:val="32"/>
              </w:rPr>
              <w:t>8</w:t>
            </w:r>
            <w:r>
              <w:rPr>
                <w:rFonts w:hint="eastAsia" w:ascii="仿宋_GB2312" w:eastAsia="仿宋_GB2312"/>
                <w:sz w:val="32"/>
                <w:szCs w:val="32"/>
              </w:rPr>
              <w:t>张部门决算表格，包括：</w:t>
            </w:r>
            <w:r>
              <w:rPr>
                <w:rFonts w:ascii="仿宋_GB2312" w:eastAsia="仿宋_GB2312"/>
                <w:sz w:val="32"/>
                <w:szCs w:val="32"/>
              </w:rPr>
              <w:t>1.</w:t>
            </w:r>
            <w:r>
              <w:rPr>
                <w:rFonts w:hint="eastAsia" w:ascii="仿宋_GB2312" w:eastAsia="仿宋_GB2312"/>
                <w:sz w:val="32"/>
                <w:szCs w:val="32"/>
              </w:rPr>
              <w:t>收支总表（</w:t>
            </w:r>
            <w:r>
              <w:rPr>
                <w:rFonts w:ascii="仿宋_GB2312" w:eastAsia="仿宋_GB2312"/>
                <w:sz w:val="32"/>
                <w:szCs w:val="32"/>
              </w:rPr>
              <w:t>3</w:t>
            </w:r>
            <w:r>
              <w:rPr>
                <w:rFonts w:hint="eastAsia" w:ascii="仿宋_GB2312" w:eastAsia="仿宋_GB2312"/>
                <w:sz w:val="32"/>
                <w:szCs w:val="32"/>
              </w:rPr>
              <w:t>张），即：《收入支出决算总表》、《收入决算表》、《支出决算表》；</w:t>
            </w:r>
            <w:r>
              <w:rPr>
                <w:rFonts w:ascii="仿宋_GB2312" w:eastAsia="仿宋_GB2312"/>
                <w:sz w:val="32"/>
                <w:szCs w:val="32"/>
              </w:rPr>
              <w:t>2.</w:t>
            </w:r>
            <w:r>
              <w:rPr>
                <w:rFonts w:hint="eastAsia" w:ascii="仿宋_GB2312" w:eastAsia="仿宋_GB2312"/>
                <w:sz w:val="32"/>
                <w:szCs w:val="32"/>
              </w:rPr>
              <w:t>财政拨款收支表（</w:t>
            </w:r>
            <w:r>
              <w:rPr>
                <w:rFonts w:ascii="仿宋_GB2312" w:eastAsia="仿宋_GB2312"/>
                <w:sz w:val="32"/>
                <w:szCs w:val="32"/>
              </w:rPr>
              <w:t>5</w:t>
            </w:r>
            <w:r>
              <w:rPr>
                <w:rFonts w:hint="eastAsia" w:ascii="仿宋_GB2312" w:eastAsia="仿宋_GB2312"/>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仿宋_GB2312" w:eastAsia="仿宋_GB2312"/>
                <w:sz w:val="32"/>
                <w:szCs w:val="32"/>
              </w:rPr>
              <w:t>(</w:t>
            </w:r>
            <w:r>
              <w:rPr>
                <w:rFonts w:hint="eastAsia" w:ascii="仿宋_GB2312" w:eastAsia="仿宋_GB2312"/>
                <w:sz w:val="32"/>
                <w:szCs w:val="32"/>
              </w:rPr>
              <w:t>表格公开以</w:t>
            </w:r>
            <w:r>
              <w:rPr>
                <w:rFonts w:ascii="仿宋_GB2312" w:eastAsia="仿宋_GB2312"/>
                <w:sz w:val="32"/>
                <w:szCs w:val="32"/>
              </w:rPr>
              <w:t>EXCEL</w:t>
            </w:r>
            <w:r>
              <w:rPr>
                <w:rFonts w:hint="eastAsia" w:ascii="仿宋_GB2312" w:eastAsia="仿宋_GB2312"/>
                <w:sz w:val="32"/>
                <w:szCs w:val="32"/>
              </w:rPr>
              <w:t>电子表格公开，公开表格另附</w:t>
            </w:r>
            <w:r>
              <w:rPr>
                <w:rFonts w:ascii="仿宋_GB2312" w:eastAsia="仿宋_GB2312"/>
                <w:sz w:val="32"/>
                <w:szCs w:val="32"/>
              </w:rPr>
              <w:t>)</w:t>
            </w:r>
          </w:p>
          <w:p>
            <w:pPr>
              <w:widowControl/>
              <w:jc w:val="center"/>
              <w:rPr>
                <w:rFonts w:ascii="华文中宋" w:hAnsi="华文中宋" w:eastAsia="华文中宋" w:cs="宋体"/>
                <w:color w:val="FF0000"/>
                <w:kern w:val="0"/>
                <w:sz w:val="32"/>
                <w:szCs w:val="32"/>
              </w:rPr>
            </w:pP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cs="宋体"/>
                <w:color w:val="FF0000"/>
                <w:kern w:val="0"/>
                <w:sz w:val="24"/>
              </w:rPr>
            </w:pPr>
          </w:p>
        </w:tc>
        <w:tc>
          <w:tcPr>
            <w:tcW w:w="769" w:type="dxa"/>
            <w:shd w:val="clear" w:color="auto" w:fill="FFFFFF"/>
            <w:vAlign w:val="center"/>
          </w:tcPr>
          <w:p>
            <w:pPr>
              <w:widowControl/>
              <w:jc w:val="right"/>
              <w:rPr>
                <w:rFonts w:ascii="宋体" w:cs="宋体"/>
                <w:color w:val="FF0000"/>
                <w:kern w:val="0"/>
                <w:sz w:val="24"/>
              </w:rPr>
            </w:pPr>
          </w:p>
        </w:tc>
        <w:tc>
          <w:tcPr>
            <w:tcW w:w="1074" w:type="dxa"/>
            <w:shd w:val="clear" w:color="auto" w:fill="FFFFFF"/>
            <w:vAlign w:val="center"/>
          </w:tcPr>
          <w:p>
            <w:pPr>
              <w:widowControl/>
              <w:jc w:val="right"/>
              <w:rPr>
                <w:rFonts w:ascii="宋体" w:cs="宋体"/>
                <w:color w:val="FF0000"/>
                <w:kern w:val="0"/>
                <w:sz w:val="24"/>
              </w:rPr>
            </w:pPr>
          </w:p>
        </w:tc>
        <w:tc>
          <w:tcPr>
            <w:tcW w:w="2693" w:type="dxa"/>
            <w:shd w:val="clear" w:color="auto" w:fill="FFFFFF"/>
            <w:vAlign w:val="center"/>
          </w:tcPr>
          <w:p>
            <w:pPr>
              <w:widowControl/>
              <w:jc w:val="right"/>
              <w:rPr>
                <w:rFonts w:ascii="宋体" w:cs="宋体"/>
                <w:color w:val="FF0000"/>
                <w:kern w:val="0"/>
                <w:sz w:val="24"/>
              </w:rPr>
            </w:pPr>
          </w:p>
        </w:tc>
        <w:tc>
          <w:tcPr>
            <w:tcW w:w="769" w:type="dxa"/>
            <w:shd w:val="clear" w:color="auto" w:fill="FFFFFF"/>
            <w:vAlign w:val="center"/>
          </w:tcPr>
          <w:p>
            <w:pPr>
              <w:widowControl/>
              <w:jc w:val="right"/>
              <w:rPr>
                <w:rFonts w:ascii="宋体" w:cs="宋体"/>
                <w:color w:val="FF0000"/>
                <w:kern w:val="0"/>
                <w:sz w:val="24"/>
              </w:rPr>
            </w:pPr>
          </w:p>
        </w:tc>
        <w:tc>
          <w:tcPr>
            <w:tcW w:w="1216" w:type="dxa"/>
            <w:shd w:val="clear" w:color="auto" w:fill="FFFFFF"/>
            <w:vAlign w:val="center"/>
          </w:tcPr>
          <w:p>
            <w:pPr>
              <w:widowControl/>
              <w:jc w:val="right"/>
              <w:rPr>
                <w:rFonts w:ascii="宋体" w:cs="宋体"/>
                <w:color w:val="FF0000"/>
                <w:kern w:val="0"/>
                <w:sz w:val="20"/>
                <w:szCs w:val="20"/>
              </w:rPr>
            </w:pPr>
          </w:p>
        </w:tc>
      </w:tr>
    </w:tbl>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2016</w:t>
      </w:r>
      <w:r>
        <w:rPr>
          <w:rFonts w:hint="eastAsia" w:ascii="宋体" w:hAnsi="宋体"/>
          <w:b/>
          <w:sz w:val="36"/>
          <w:szCs w:val="36"/>
        </w:rPr>
        <w:t>年部门决算结算情况说明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2016</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pStyle w:val="5"/>
        <w:shd w:val="clear" w:color="auto" w:fill="FFFFFF"/>
        <w:spacing w:before="0" w:beforeAutospacing="0" w:after="0" w:afterAutospacing="0" w:line="450" w:lineRule="atLeast"/>
        <w:ind w:firstLine="627" w:firstLineChars="196"/>
        <w:rPr>
          <w:rFonts w:ascii="仿宋_GB2312" w:eastAsia="仿宋_GB2312"/>
          <w:color w:val="000000"/>
          <w:sz w:val="21"/>
          <w:szCs w:val="21"/>
        </w:rPr>
      </w:pPr>
      <w:r>
        <w:rPr>
          <w:rFonts w:ascii="仿宋_GB2312" w:eastAsia="仿宋_GB2312"/>
          <w:sz w:val="32"/>
          <w:szCs w:val="32"/>
        </w:rPr>
        <w:t>1.</w:t>
      </w: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年度总收入</w:t>
      </w:r>
      <w:r>
        <w:rPr>
          <w:sz w:val="28"/>
          <w:szCs w:val="28"/>
        </w:rPr>
        <w:t>99.30</w:t>
      </w:r>
      <w:r>
        <w:rPr>
          <w:rFonts w:hint="eastAsia" w:ascii="仿宋_GB2312" w:eastAsia="仿宋_GB2312"/>
          <w:sz w:val="32"/>
          <w:szCs w:val="32"/>
        </w:rPr>
        <w:t>万元，其中本年收入</w:t>
      </w:r>
      <w:r>
        <w:rPr>
          <w:sz w:val="28"/>
          <w:szCs w:val="28"/>
        </w:rPr>
        <w:t>99.30</w:t>
      </w:r>
      <w:r>
        <w:rPr>
          <w:rFonts w:hint="eastAsia" w:ascii="仿宋_GB2312" w:eastAsia="仿宋_GB2312"/>
          <w:sz w:val="32"/>
          <w:szCs w:val="32"/>
        </w:rPr>
        <w:t>万元</w:t>
      </w:r>
      <w:r>
        <w:rPr>
          <w:rFonts w:hint="eastAsia" w:ascii="仿宋_GB2312" w:eastAsia="仿宋_GB2312"/>
          <w:color w:val="000000"/>
          <w:sz w:val="32"/>
          <w:szCs w:val="32"/>
        </w:rPr>
        <w:t>全部为公共财政拨款收入</w:t>
      </w:r>
      <w:r>
        <w:rPr>
          <w:rFonts w:ascii="仿宋_GB2312" w:eastAsia="仿宋_GB2312"/>
          <w:color w:val="000000"/>
          <w:sz w:val="32"/>
          <w:szCs w:val="32"/>
        </w:rPr>
        <w:t>,</w:t>
      </w:r>
      <w:r>
        <w:rPr>
          <w:rFonts w:hint="eastAsia" w:ascii="仿宋_GB2312" w:eastAsia="仿宋_GB2312"/>
          <w:color w:val="000000"/>
          <w:sz w:val="32"/>
          <w:szCs w:val="32"/>
        </w:rPr>
        <w:t>比上年决算数减少</w:t>
      </w:r>
      <w:r>
        <w:rPr>
          <w:rFonts w:ascii="仿宋_GB2312" w:eastAsia="仿宋_GB2312"/>
          <w:color w:val="000000"/>
          <w:sz w:val="32"/>
          <w:szCs w:val="32"/>
        </w:rPr>
        <w:t>4.22</w:t>
      </w:r>
      <w:r>
        <w:rPr>
          <w:rFonts w:hint="eastAsia" w:ascii="仿宋_GB2312" w:eastAsia="仿宋_GB2312"/>
          <w:color w:val="000000"/>
          <w:sz w:val="32"/>
          <w:szCs w:val="32"/>
        </w:rPr>
        <w:t>万元，下降</w:t>
      </w:r>
      <w:r>
        <w:rPr>
          <w:rFonts w:ascii="仿宋_GB2312" w:eastAsia="仿宋_GB2312"/>
          <w:color w:val="000000"/>
          <w:sz w:val="32"/>
          <w:szCs w:val="32"/>
        </w:rPr>
        <w:t>4.10%</w:t>
      </w:r>
      <w:r>
        <w:rPr>
          <w:rFonts w:hint="eastAsia" w:ascii="仿宋_GB2312" w:eastAsia="仿宋_GB2312"/>
          <w:color w:val="000000"/>
          <w:sz w:val="32"/>
          <w:szCs w:val="32"/>
        </w:rPr>
        <w:t>。主要原因是公用经费的压减。</w:t>
      </w:r>
    </w:p>
    <w:p>
      <w:pPr>
        <w:spacing w:line="288" w:lineRule="auto"/>
        <w:ind w:left="160" w:leftChars="76"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今年和上年度没有上级补助收入。</w:t>
      </w:r>
    </w:p>
    <w:p>
      <w:pPr>
        <w:spacing w:line="288"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今年和上年度没有事业收入。</w:t>
      </w:r>
    </w:p>
    <w:p>
      <w:pPr>
        <w:spacing w:line="288"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今年和上年度没有经营收入</w:t>
      </w:r>
      <w:r>
        <w:rPr>
          <w:rFonts w:ascii="仿宋_GB2312" w:eastAsia="仿宋_GB2312"/>
          <w:sz w:val="32"/>
          <w:szCs w:val="32"/>
        </w:rPr>
        <w:t xml:space="preserve"> </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今年和上年度没有其他收入。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pStyle w:val="5"/>
        <w:shd w:val="clear" w:color="auto" w:fill="FFFFFF"/>
        <w:spacing w:before="0" w:beforeAutospacing="0" w:after="0" w:afterAutospacing="0" w:line="450" w:lineRule="atLeast"/>
        <w:ind w:firstLine="627" w:firstLineChars="196"/>
        <w:rPr>
          <w:rFonts w:hint="eastAsia" w:ascii="仿宋_GB2312" w:eastAsia="仿宋_GB2312"/>
          <w:color w:val="000000"/>
          <w:sz w:val="32"/>
          <w:szCs w:val="32"/>
          <w:lang w:eastAsia="zh-CN"/>
        </w:rPr>
      </w:pPr>
      <w:r>
        <w:rPr>
          <w:rFonts w:hint="eastAsia" w:ascii="仿宋_GB2312" w:eastAsia="仿宋_GB2312"/>
          <w:sz w:val="32"/>
          <w:szCs w:val="32"/>
        </w:rPr>
        <w:t>榕城区总工会</w:t>
      </w:r>
      <w:r>
        <w:rPr>
          <w:rFonts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年度总支出</w:t>
      </w:r>
      <w:r>
        <w:rPr>
          <w:rFonts w:hint="eastAsia" w:ascii="仿宋_GB2312" w:eastAsia="仿宋_GB2312"/>
          <w:color w:val="000000"/>
          <w:sz w:val="32"/>
          <w:szCs w:val="32"/>
          <w:lang w:val="en-US" w:eastAsia="zh-CN"/>
        </w:rPr>
        <w:t>99.30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其中本年支出</w:t>
      </w:r>
      <w:r>
        <w:rPr>
          <w:rFonts w:hint="eastAsia" w:ascii="仿宋_GB2312" w:eastAsia="仿宋_GB2312"/>
          <w:color w:val="000000"/>
          <w:sz w:val="32"/>
          <w:szCs w:val="32"/>
          <w:lang w:val="en-US" w:eastAsia="zh-CN"/>
        </w:rPr>
        <w:t>99.30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。具体情况如下：</w:t>
      </w:r>
    </w:p>
    <w:p>
      <w:pPr>
        <w:pStyle w:val="5"/>
        <w:numPr>
          <w:ilvl w:val="0"/>
          <w:numId w:val="1"/>
        </w:numPr>
        <w:shd w:val="clear" w:color="auto" w:fill="FFFFFF"/>
        <w:spacing w:before="0" w:beforeAutospacing="0" w:after="0" w:afterAutospacing="0" w:line="450" w:lineRule="atLeast"/>
        <w:ind w:firstLine="627" w:firstLineChars="196"/>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一般公共服务支出62.39万元，主要用于行政运行、厂务公开及群从团体事务支出，比上年决算数减少1.22万元，下降2%，主要原因为人员调整及团体事务支出减少。</w:t>
      </w:r>
    </w:p>
    <w:p>
      <w:pPr>
        <w:pStyle w:val="5"/>
        <w:numPr>
          <w:ilvl w:val="0"/>
          <w:numId w:val="0"/>
        </w:numPr>
        <w:shd w:val="clear" w:color="auto" w:fill="FFFFFF"/>
        <w:spacing w:before="0" w:beforeAutospacing="0" w:after="0" w:afterAutospacing="0" w:line="450" w:lineRule="atLeast"/>
        <w:ind w:firstLine="640" w:firstLineChars="200"/>
        <w:rPr>
          <w:rFonts w:ascii="仿宋_GB2312" w:eastAsia="仿宋_GB2312"/>
          <w:color w:val="000000"/>
          <w:sz w:val="21"/>
          <w:szCs w:val="21"/>
        </w:rPr>
      </w:pPr>
      <w:r>
        <w:rPr>
          <w:rFonts w:hint="eastAsia" w:ascii="仿宋_GB2312" w:eastAsia="仿宋_GB2312"/>
          <w:color w:val="000000"/>
          <w:sz w:val="32"/>
          <w:szCs w:val="32"/>
          <w:lang w:val="en-US" w:eastAsia="zh-CN"/>
        </w:rPr>
        <w:t>2.教育支出23.12万元。</w:t>
      </w:r>
      <w:r>
        <w:rPr>
          <w:rFonts w:hint="eastAsia" w:ascii="仿宋_GB2312" w:eastAsia="仿宋_GB2312"/>
          <w:color w:val="000000"/>
          <w:sz w:val="32"/>
          <w:szCs w:val="32"/>
        </w:rPr>
        <w:t>主要</w:t>
      </w:r>
      <w:r>
        <w:rPr>
          <w:rFonts w:hint="eastAsia" w:ascii="仿宋_GB2312" w:eastAsia="仿宋_GB2312"/>
          <w:color w:val="000000"/>
          <w:sz w:val="32"/>
          <w:szCs w:val="32"/>
          <w:lang w:eastAsia="zh-CN"/>
        </w:rPr>
        <w:t>支出项目有办公费、电费、邮电费、社会保障缴费等，与上年决算数持平。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二、榕城区总工会</w:t>
      </w:r>
      <w:r>
        <w:rPr>
          <w:rFonts w:ascii="仿宋_GB2312" w:eastAsia="仿宋_GB2312"/>
          <w:b/>
          <w:sz w:val="32"/>
          <w:szCs w:val="32"/>
        </w:rPr>
        <w:t>2016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（一）榕城区总工会</w:t>
      </w:r>
      <w:r>
        <w:rPr>
          <w:rFonts w:ascii="仿宋_GB2312" w:eastAsia="仿宋_GB2312"/>
          <w:b/>
          <w:sz w:val="32"/>
          <w:szCs w:val="32"/>
        </w:rPr>
        <w:t>2016</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年度财政拨款收入合计</w:t>
      </w:r>
      <w:r>
        <w:rPr>
          <w:rFonts w:ascii="宋体" w:hAnsi="宋体"/>
          <w:sz w:val="28"/>
          <w:szCs w:val="28"/>
        </w:rPr>
        <w:t>99.30</w:t>
      </w:r>
      <w:r>
        <w:rPr>
          <w:rFonts w:hint="eastAsia" w:ascii="仿宋_GB2312" w:eastAsia="仿宋_GB2312"/>
          <w:sz w:val="32"/>
          <w:szCs w:val="32"/>
        </w:rPr>
        <w:t>万元。其中：一般公共预算财政拨款收入</w:t>
      </w:r>
      <w:r>
        <w:rPr>
          <w:rFonts w:ascii="宋体" w:hAnsi="宋体"/>
          <w:sz w:val="28"/>
          <w:szCs w:val="28"/>
        </w:rPr>
        <w:t>99.30</w:t>
      </w:r>
      <w:r>
        <w:rPr>
          <w:rFonts w:hint="eastAsia" w:ascii="仿宋_GB2312" w:eastAsia="仿宋_GB2312"/>
          <w:sz w:val="32"/>
          <w:szCs w:val="32"/>
        </w:rPr>
        <w:t>万元，与年初预算数持平。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（二）榕城区总工会</w:t>
      </w:r>
      <w:r>
        <w:rPr>
          <w:rFonts w:ascii="仿宋_GB2312" w:eastAsia="仿宋_GB2312"/>
          <w:b/>
          <w:sz w:val="32"/>
          <w:szCs w:val="32"/>
        </w:rPr>
        <w:t>2016</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年度财政拨款支出合计</w:t>
      </w:r>
      <w:r>
        <w:rPr>
          <w:rFonts w:ascii="宋体" w:hAnsi="宋体"/>
          <w:sz w:val="28"/>
          <w:szCs w:val="28"/>
        </w:rPr>
        <w:t>99.30</w:t>
      </w:r>
      <w:r>
        <w:rPr>
          <w:rFonts w:hint="eastAsia" w:ascii="仿宋_GB2312" w:eastAsia="仿宋_GB2312"/>
          <w:sz w:val="32"/>
          <w:szCs w:val="32"/>
        </w:rPr>
        <w:t>万元。其中：一般公共预算财政拨款支出</w:t>
      </w:r>
      <w:r>
        <w:rPr>
          <w:rFonts w:ascii="宋体" w:hAnsi="宋体"/>
          <w:sz w:val="28"/>
          <w:szCs w:val="28"/>
        </w:rPr>
        <w:t>99.30</w:t>
      </w:r>
      <w:r>
        <w:rPr>
          <w:rFonts w:hint="eastAsia" w:ascii="仿宋_GB2312" w:eastAsia="仿宋_GB2312"/>
          <w:sz w:val="32"/>
          <w:szCs w:val="32"/>
        </w:rPr>
        <w:t>万元，与年初预算数持平。</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一般公共服务支出</w:t>
      </w:r>
      <w:r>
        <w:rPr>
          <w:rFonts w:ascii="仿宋_GB2312" w:eastAsia="仿宋_GB2312"/>
          <w:sz w:val="32"/>
          <w:szCs w:val="32"/>
        </w:rPr>
        <w:t>62.39</w:t>
      </w:r>
      <w:r>
        <w:rPr>
          <w:rFonts w:hint="eastAsia" w:ascii="仿宋_GB2312" w:eastAsia="仿宋_GB2312"/>
          <w:sz w:val="32"/>
          <w:szCs w:val="32"/>
        </w:rPr>
        <w:t>万元，主要用于行政运行</w:t>
      </w:r>
      <w:r>
        <w:rPr>
          <w:rFonts w:ascii="仿宋_GB2312" w:eastAsia="仿宋_GB2312"/>
          <w:sz w:val="32"/>
          <w:szCs w:val="32"/>
        </w:rPr>
        <w:t>53.89</w:t>
      </w:r>
      <w:r>
        <w:rPr>
          <w:rFonts w:hint="eastAsia" w:ascii="仿宋_GB2312" w:eastAsia="仿宋_GB2312"/>
          <w:sz w:val="32"/>
          <w:szCs w:val="32"/>
        </w:rPr>
        <w:t>万元，其中厂务公开</w:t>
      </w:r>
      <w:r>
        <w:rPr>
          <w:rFonts w:ascii="仿宋_GB2312" w:eastAsia="仿宋_GB2312"/>
          <w:sz w:val="32"/>
          <w:szCs w:val="32"/>
        </w:rPr>
        <w:t>0.5</w:t>
      </w:r>
      <w:r>
        <w:rPr>
          <w:rFonts w:hint="eastAsia" w:ascii="仿宋_GB2312" w:eastAsia="仿宋_GB2312"/>
          <w:sz w:val="32"/>
          <w:szCs w:val="32"/>
        </w:rPr>
        <w:t>万元，其他群众团体事务支出</w:t>
      </w:r>
      <w:r>
        <w:rPr>
          <w:rFonts w:ascii="仿宋_GB2312" w:eastAsia="仿宋_GB2312"/>
          <w:sz w:val="32"/>
          <w:szCs w:val="32"/>
        </w:rPr>
        <w:t>8</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教育支出</w:t>
      </w:r>
      <w:r>
        <w:rPr>
          <w:rFonts w:ascii="仿宋_GB2312" w:eastAsia="仿宋_GB2312"/>
          <w:sz w:val="32"/>
          <w:szCs w:val="32"/>
        </w:rPr>
        <w:t>23.12</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社会保障和就业支出</w:t>
      </w:r>
      <w:r>
        <w:rPr>
          <w:rFonts w:ascii="仿宋_GB2312" w:hAnsi="宋体" w:eastAsia="仿宋_GB2312" w:cs="宋体"/>
          <w:kern w:val="0"/>
          <w:sz w:val="32"/>
          <w:szCs w:val="32"/>
        </w:rPr>
        <w:t>12.95</w:t>
      </w:r>
      <w:r>
        <w:rPr>
          <w:rFonts w:hint="eastAsia" w:ascii="仿宋_GB2312" w:eastAsia="仿宋_GB2312"/>
          <w:sz w:val="32"/>
          <w:szCs w:val="32"/>
        </w:rPr>
        <w:t>万元，其中死亡抚恤</w:t>
      </w:r>
      <w:r>
        <w:rPr>
          <w:rFonts w:ascii="仿宋_GB2312" w:hAnsi="宋体" w:eastAsia="仿宋_GB2312" w:cs="宋体"/>
          <w:kern w:val="0"/>
          <w:sz w:val="32"/>
          <w:szCs w:val="32"/>
        </w:rPr>
        <w:t>11.95</w:t>
      </w:r>
      <w:r>
        <w:rPr>
          <w:rFonts w:hint="eastAsia" w:ascii="仿宋_GB2312" w:eastAsia="仿宋_GB2312"/>
          <w:sz w:val="32"/>
          <w:szCs w:val="32"/>
        </w:rPr>
        <w:t>万元，行政单位离退休</w:t>
      </w:r>
      <w:r>
        <w:rPr>
          <w:rFonts w:ascii="仿宋_GB2312" w:eastAsia="仿宋_GB2312"/>
          <w:sz w:val="32"/>
          <w:szCs w:val="32"/>
        </w:rPr>
        <w:t>1</w:t>
      </w:r>
      <w:r>
        <w:rPr>
          <w:rFonts w:hint="eastAsia" w:ascii="仿宋_GB2312" w:eastAsia="仿宋_GB2312"/>
          <w:sz w:val="32"/>
          <w:szCs w:val="32"/>
        </w:rPr>
        <w:t>万元；住房保障支出</w:t>
      </w:r>
      <w:r>
        <w:rPr>
          <w:rFonts w:ascii="仿宋_GB2312" w:eastAsia="仿宋_GB2312"/>
          <w:sz w:val="32"/>
          <w:szCs w:val="32"/>
        </w:rPr>
        <w:t>0.84</w:t>
      </w:r>
      <w:r>
        <w:rPr>
          <w:rFonts w:hint="eastAsia" w:ascii="仿宋_GB2312" w:eastAsia="仿宋_GB2312"/>
          <w:sz w:val="32"/>
          <w:szCs w:val="32"/>
        </w:rPr>
        <w:t>万元。</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三、榕城区总工会</w:t>
      </w:r>
      <w:r>
        <w:rPr>
          <w:rFonts w:ascii="仿宋_GB2312" w:eastAsia="仿宋_GB2312"/>
          <w:b/>
          <w:sz w:val="32"/>
          <w:szCs w:val="32"/>
        </w:rPr>
        <w:t>2016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ascii="仿宋_GB2312" w:hAnsi="宋体" w:eastAsia="仿宋_GB2312"/>
          <w:sz w:val="32"/>
          <w:szCs w:val="32"/>
        </w:rPr>
        <w:t>0</w:t>
      </w:r>
      <w:r>
        <w:rPr>
          <w:rFonts w:hint="eastAsia" w:ascii="仿宋_GB2312" w:hAnsi="宋体" w:eastAsia="仿宋_GB2312"/>
          <w:sz w:val="32"/>
          <w:szCs w:val="32"/>
        </w:rPr>
        <w:t>万元，完成预算</w:t>
      </w:r>
      <w:r>
        <w:rPr>
          <w:rFonts w:ascii="仿宋_GB2312" w:hAnsi="宋体" w:eastAsia="仿宋_GB2312"/>
          <w:sz w:val="32"/>
          <w:szCs w:val="32"/>
        </w:rPr>
        <w:t>0</w:t>
      </w:r>
      <w:r>
        <w:rPr>
          <w:rFonts w:hint="eastAsia" w:ascii="仿宋_GB2312" w:hAnsi="宋体" w:eastAsia="仿宋_GB2312"/>
          <w:sz w:val="32"/>
          <w:szCs w:val="32"/>
        </w:rPr>
        <w:t>万元的</w:t>
      </w:r>
      <w:r>
        <w:rPr>
          <w:rFonts w:ascii="仿宋_GB2312" w:hAnsi="宋体" w:eastAsia="仿宋_GB2312"/>
          <w:sz w:val="32"/>
          <w:szCs w:val="32"/>
        </w:rPr>
        <w:t>0%</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万元的</w:t>
      </w:r>
      <w:r>
        <w:rPr>
          <w:rFonts w:ascii="仿宋_GB2312" w:eastAsia="仿宋_GB2312"/>
          <w:sz w:val="32"/>
          <w:szCs w:val="32"/>
        </w:rPr>
        <w:t>0%</w:t>
      </w:r>
      <w:r>
        <w:rPr>
          <w:rFonts w:hint="eastAsia" w:ascii="仿宋_GB2312" w:eastAsia="仿宋_GB2312"/>
          <w:sz w:val="32"/>
          <w:szCs w:val="32"/>
        </w:rPr>
        <w:t>；公务用车购置及运行维护费支出决算为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万元的</w:t>
      </w:r>
      <w:r>
        <w:rPr>
          <w:rFonts w:ascii="仿宋_GB2312" w:eastAsia="仿宋_GB2312"/>
          <w:sz w:val="32"/>
          <w:szCs w:val="32"/>
        </w:rPr>
        <w:t>0%</w:t>
      </w:r>
      <w:r>
        <w:rPr>
          <w:rFonts w:hint="eastAsia" w:ascii="仿宋_GB2312" w:eastAsia="仿宋_GB2312"/>
          <w:sz w:val="32"/>
          <w:szCs w:val="32"/>
        </w:rPr>
        <w:t>；公务接待费支出决算为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万元的</w:t>
      </w:r>
      <w:r>
        <w:rPr>
          <w:rFonts w:ascii="仿宋_GB2312" w:eastAsia="仿宋_GB2312"/>
          <w:sz w:val="32"/>
          <w:szCs w:val="32"/>
        </w:rPr>
        <w:t>0%</w:t>
      </w: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年度“三公”经费支出为</w:t>
      </w:r>
      <w:r>
        <w:rPr>
          <w:rFonts w:ascii="仿宋_GB2312" w:eastAsia="仿宋_GB2312"/>
          <w:sz w:val="32"/>
          <w:szCs w:val="32"/>
        </w:rPr>
        <w:t>0</w:t>
      </w:r>
      <w:r>
        <w:rPr>
          <w:rFonts w:hint="eastAsia" w:ascii="仿宋_GB2312" w:eastAsia="仿宋_GB2312"/>
          <w:sz w:val="32"/>
          <w:szCs w:val="32"/>
        </w:rPr>
        <w:t>的主要原因是公车改革。</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因公出国（境）费支出</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hAnsi="宋体" w:eastAsia="仿宋_GB2312"/>
          <w:sz w:val="32"/>
          <w:szCs w:val="32"/>
        </w:rPr>
        <w:t>年本部门机关运行经费支出</w:t>
      </w:r>
      <w:r>
        <w:rPr>
          <w:rFonts w:ascii="仿宋_GB2312" w:hAnsi="宋体" w:eastAsia="仿宋_GB2312"/>
          <w:sz w:val="32"/>
          <w:szCs w:val="32"/>
        </w:rPr>
        <w:t>23.31</w:t>
      </w:r>
      <w:r>
        <w:rPr>
          <w:rFonts w:hint="eastAsia" w:ascii="仿宋_GB2312" w:hAnsi="宋体" w:eastAsia="仿宋_GB2312"/>
          <w:sz w:val="32"/>
          <w:szCs w:val="32"/>
        </w:rPr>
        <w:t>万元，比上年增加</w:t>
      </w:r>
      <w:r>
        <w:rPr>
          <w:rFonts w:ascii="仿宋_GB2312" w:hAnsi="宋体" w:eastAsia="仿宋_GB2312"/>
          <w:sz w:val="32"/>
          <w:szCs w:val="32"/>
        </w:rPr>
        <w:t>1.84</w:t>
      </w:r>
      <w:r>
        <w:rPr>
          <w:rFonts w:hint="eastAsia" w:ascii="仿宋_GB2312" w:hAnsi="宋体" w:eastAsia="仿宋_GB2312"/>
          <w:sz w:val="32"/>
          <w:szCs w:val="32"/>
        </w:rPr>
        <w:t>万元，主要原因是其他商品和服务支出增加。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榕城区总工会</w:t>
      </w:r>
      <w:r>
        <w:rPr>
          <w:rFonts w:ascii="仿宋_GB2312" w:eastAsia="仿宋_GB2312"/>
          <w:sz w:val="32"/>
          <w:szCs w:val="32"/>
        </w:rPr>
        <w:t>2016</w:t>
      </w:r>
      <w:r>
        <w:rPr>
          <w:rFonts w:hint="eastAsia" w:ascii="仿宋_GB2312" w:eastAsia="仿宋_GB2312"/>
          <w:sz w:val="32"/>
          <w:szCs w:val="32"/>
        </w:rPr>
        <w:t>年本部门没有政府采购支出。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2016</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日，本部门资产总值</w:t>
      </w:r>
      <w:r>
        <w:rPr>
          <w:rFonts w:ascii="仿宋_GB2312" w:eastAsia="仿宋_GB2312"/>
          <w:sz w:val="32"/>
          <w:szCs w:val="32"/>
        </w:rPr>
        <w:t>1.33</w:t>
      </w:r>
      <w:r>
        <w:rPr>
          <w:rFonts w:hint="eastAsia" w:ascii="仿宋_GB2312" w:eastAsia="仿宋_GB2312"/>
          <w:sz w:val="32"/>
          <w:szCs w:val="32"/>
        </w:rPr>
        <w:t>万元</w:t>
      </w:r>
      <w:r>
        <w:rPr>
          <w:rFonts w:ascii="仿宋_GB2312" w:eastAsia="仿宋_GB2312"/>
          <w:sz w:val="32"/>
          <w:szCs w:val="32"/>
        </w:rPr>
        <w:t>,</w:t>
      </w:r>
      <w:r>
        <w:rPr>
          <w:rFonts w:hint="eastAsia" w:ascii="仿宋_GB2312" w:hAnsi="仿宋_GB2312" w:eastAsia="仿宋_GB2312" w:cs="仿宋_GB2312"/>
          <w:sz w:val="32"/>
          <w:szCs w:val="32"/>
        </w:rPr>
        <w:t>均为办公设备</w:t>
      </w:r>
      <w:r>
        <w:rPr>
          <w:rFonts w:ascii="仿宋_GB2312" w:hAnsi="仿宋_GB2312" w:eastAsia="仿宋_GB2312" w:cs="仿宋_GB2312"/>
          <w:sz w:val="32"/>
          <w:szCs w:val="32"/>
        </w:rPr>
        <w:t>,</w:t>
      </w:r>
      <w:r>
        <w:rPr>
          <w:rFonts w:hint="eastAsia" w:ascii="仿宋_GB2312" w:eastAsia="仿宋_GB2312"/>
          <w:sz w:val="32"/>
          <w:szCs w:val="32"/>
        </w:rPr>
        <w:t>年末无公车</w:t>
      </w:r>
      <w:r>
        <w:rPr>
          <w:rFonts w:hint="eastAsia" w:ascii="仿宋_GB2312" w:hAnsi="仿宋_GB2312" w:eastAsia="仿宋_GB2312" w:cs="仿宋_GB2312"/>
          <w:sz w:val="32"/>
          <w:szCs w:val="32"/>
        </w:rPr>
        <w:t>。</w:t>
      </w:r>
      <w:r>
        <w:rPr>
          <w:rFonts w:hint="eastAsia" w:ascii="仿宋_GB2312" w:eastAsia="仿宋_GB2312"/>
          <w:sz w:val="32"/>
          <w:szCs w:val="32"/>
        </w:rPr>
        <w:t>单位没有价值</w:t>
      </w:r>
      <w:r>
        <w:rPr>
          <w:rFonts w:ascii="仿宋_GB2312" w:eastAsia="仿宋_GB2312"/>
          <w:sz w:val="32"/>
          <w:szCs w:val="32"/>
        </w:rPr>
        <w:t>50</w:t>
      </w:r>
      <w:r>
        <w:rPr>
          <w:rFonts w:hint="eastAsia" w:ascii="仿宋_GB2312" w:eastAsia="仿宋_GB2312"/>
          <w:sz w:val="32"/>
          <w:szCs w:val="32"/>
        </w:rPr>
        <w:t>万元以上通用设备，没有单价</w:t>
      </w:r>
      <w:r>
        <w:rPr>
          <w:rFonts w:ascii="仿宋_GB2312" w:eastAsia="仿宋_GB2312"/>
          <w:sz w:val="32"/>
          <w:szCs w:val="32"/>
        </w:rPr>
        <w:t>100</w:t>
      </w:r>
      <w:r>
        <w:rPr>
          <w:rFonts w:hint="eastAsia" w:ascii="仿宋_GB2312" w:eastAsia="仿宋_GB2312"/>
          <w:sz w:val="32"/>
          <w:szCs w:val="32"/>
        </w:rPr>
        <w:t>万元以上专用设备。</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b/>
          <w:bCs/>
          <w:sz w:val="32"/>
          <w:szCs w:val="32"/>
          <w:lang w:eastAsia="zh-CN"/>
        </w:rPr>
      </w:pPr>
      <w:r>
        <w:rPr>
          <w:rFonts w:ascii="仿宋_GB2312" w:eastAsia="仿宋_GB2312"/>
          <w:sz w:val="32"/>
          <w:szCs w:val="32"/>
        </w:rPr>
        <w:t xml:space="preserve"> </w:t>
      </w:r>
      <w:r>
        <w:rPr>
          <w:rFonts w:hint="eastAsia" w:ascii="仿宋_GB2312" w:eastAsia="仿宋_GB2312"/>
          <w:b/>
          <w:bCs/>
          <w:sz w:val="32"/>
          <w:szCs w:val="32"/>
          <w:lang w:eastAsia="zh-CN"/>
        </w:rPr>
        <w:t>（四）</w:t>
      </w:r>
      <w:r>
        <w:rPr>
          <w:rFonts w:hint="eastAsia" w:ascii="仿宋_GB2312" w:eastAsia="仿宋_GB2312"/>
          <w:b/>
          <w:bCs/>
          <w:sz w:val="32"/>
          <w:szCs w:val="32"/>
        </w:rPr>
        <w:t>预算</w:t>
      </w:r>
      <w:r>
        <w:rPr>
          <w:rFonts w:hint="eastAsia" w:ascii="仿宋_GB2312" w:eastAsia="仿宋_GB2312"/>
          <w:b/>
          <w:bCs/>
          <w:sz w:val="32"/>
          <w:szCs w:val="32"/>
          <w:lang w:eastAsia="zh-CN"/>
        </w:rPr>
        <w:t>绩效管理工作开展情况：不适用。</w:t>
      </w:r>
    </w:p>
    <w:p>
      <w:pPr>
        <w:spacing w:line="580" w:lineRule="exact"/>
        <w:ind w:firstLine="643" w:firstLineChars="200"/>
        <w:rPr>
          <w:rFonts w:hint="eastAsia" w:ascii="仿宋_GB2312" w:eastAsia="仿宋_GB2312"/>
          <w:b/>
          <w:bCs/>
          <w:sz w:val="32"/>
          <w:szCs w:val="32"/>
          <w:lang w:eastAsia="zh-CN"/>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w:t>
      </w:r>
      <w:r>
        <w:rPr>
          <w:rFonts w:ascii="仿宋_GB2312" w:eastAsia="仿宋_GB2312"/>
          <w:b/>
          <w:sz w:val="32"/>
          <w:szCs w:val="32"/>
        </w:rPr>
        <w:t xml:space="preserve">  </w:t>
      </w:r>
      <w:r>
        <w:rPr>
          <w:rFonts w:hint="eastAsia" w:ascii="仿宋_GB2312" w:eastAsia="仿宋_GB2312"/>
          <w:b/>
          <w:sz w:val="32"/>
          <w:szCs w:val="32"/>
        </w:rPr>
        <w:t>名词解释</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ascii="方正小标宋简体" w:eastAsia="方正小标宋简体"/>
          <w:sz w:val="44"/>
          <w:szCs w:val="44"/>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rPr>
        <w:rFonts w:cs="Times New Roman"/>
      </w:rPr>
    </w:lvl>
  </w:abstractNum>
  <w:abstractNum w:abstractNumId="1">
    <w:nsid w:val="5AC4411F"/>
    <w:multiLevelType w:val="singleLevel"/>
    <w:tmpl w:val="5AC4411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C06"/>
    <w:rsid w:val="0001582F"/>
    <w:rsid w:val="0001600C"/>
    <w:rsid w:val="00050996"/>
    <w:rsid w:val="00054C81"/>
    <w:rsid w:val="000605F9"/>
    <w:rsid w:val="00091080"/>
    <w:rsid w:val="000A2719"/>
    <w:rsid w:val="000B361B"/>
    <w:rsid w:val="000C1053"/>
    <w:rsid w:val="000F1BF8"/>
    <w:rsid w:val="00122CE1"/>
    <w:rsid w:val="0014384C"/>
    <w:rsid w:val="001438E8"/>
    <w:rsid w:val="00152991"/>
    <w:rsid w:val="0016539D"/>
    <w:rsid w:val="001738B1"/>
    <w:rsid w:val="00176E62"/>
    <w:rsid w:val="00190B5C"/>
    <w:rsid w:val="001916CB"/>
    <w:rsid w:val="001D4F34"/>
    <w:rsid w:val="001F17EA"/>
    <w:rsid w:val="00226DDA"/>
    <w:rsid w:val="002313DA"/>
    <w:rsid w:val="00232BB7"/>
    <w:rsid w:val="00236621"/>
    <w:rsid w:val="002412AC"/>
    <w:rsid w:val="002436EC"/>
    <w:rsid w:val="0027273B"/>
    <w:rsid w:val="00283B7C"/>
    <w:rsid w:val="00295E9E"/>
    <w:rsid w:val="002B3879"/>
    <w:rsid w:val="002B706A"/>
    <w:rsid w:val="002C1D36"/>
    <w:rsid w:val="002C47EA"/>
    <w:rsid w:val="002F22A6"/>
    <w:rsid w:val="00337694"/>
    <w:rsid w:val="00340BBE"/>
    <w:rsid w:val="00351DA7"/>
    <w:rsid w:val="003522CE"/>
    <w:rsid w:val="00354F2B"/>
    <w:rsid w:val="00360170"/>
    <w:rsid w:val="00374E6D"/>
    <w:rsid w:val="00380858"/>
    <w:rsid w:val="00381B92"/>
    <w:rsid w:val="003936B2"/>
    <w:rsid w:val="003A2B54"/>
    <w:rsid w:val="003A7E96"/>
    <w:rsid w:val="003C78A1"/>
    <w:rsid w:val="003D4016"/>
    <w:rsid w:val="003F46AC"/>
    <w:rsid w:val="00401321"/>
    <w:rsid w:val="00404F02"/>
    <w:rsid w:val="004124AF"/>
    <w:rsid w:val="0042163E"/>
    <w:rsid w:val="00430B18"/>
    <w:rsid w:val="004444E8"/>
    <w:rsid w:val="00445466"/>
    <w:rsid w:val="00446C23"/>
    <w:rsid w:val="00475A88"/>
    <w:rsid w:val="00482E05"/>
    <w:rsid w:val="004D2BA7"/>
    <w:rsid w:val="005018B6"/>
    <w:rsid w:val="00504504"/>
    <w:rsid w:val="005069F9"/>
    <w:rsid w:val="00520558"/>
    <w:rsid w:val="00521AA6"/>
    <w:rsid w:val="00524C23"/>
    <w:rsid w:val="005374F2"/>
    <w:rsid w:val="0054322D"/>
    <w:rsid w:val="00580221"/>
    <w:rsid w:val="0058516B"/>
    <w:rsid w:val="005A4F3C"/>
    <w:rsid w:val="005A5A52"/>
    <w:rsid w:val="005B081B"/>
    <w:rsid w:val="005B1E56"/>
    <w:rsid w:val="005C2237"/>
    <w:rsid w:val="005C2249"/>
    <w:rsid w:val="005D3F63"/>
    <w:rsid w:val="005E0E9D"/>
    <w:rsid w:val="005E6F87"/>
    <w:rsid w:val="005F1C4E"/>
    <w:rsid w:val="00624713"/>
    <w:rsid w:val="00640CC5"/>
    <w:rsid w:val="00643981"/>
    <w:rsid w:val="00645783"/>
    <w:rsid w:val="006541F7"/>
    <w:rsid w:val="00672453"/>
    <w:rsid w:val="00683B11"/>
    <w:rsid w:val="006A6746"/>
    <w:rsid w:val="006C2F73"/>
    <w:rsid w:val="006E56FD"/>
    <w:rsid w:val="00734C6C"/>
    <w:rsid w:val="0073763D"/>
    <w:rsid w:val="0075114A"/>
    <w:rsid w:val="007521FB"/>
    <w:rsid w:val="00752364"/>
    <w:rsid w:val="007619A1"/>
    <w:rsid w:val="00783A05"/>
    <w:rsid w:val="007C367E"/>
    <w:rsid w:val="007D0DA6"/>
    <w:rsid w:val="007D7594"/>
    <w:rsid w:val="007E0A58"/>
    <w:rsid w:val="007E402B"/>
    <w:rsid w:val="007E7C3C"/>
    <w:rsid w:val="007F1A22"/>
    <w:rsid w:val="008215AD"/>
    <w:rsid w:val="00835D17"/>
    <w:rsid w:val="008553E8"/>
    <w:rsid w:val="008725CC"/>
    <w:rsid w:val="00877C06"/>
    <w:rsid w:val="00890FD7"/>
    <w:rsid w:val="008A550A"/>
    <w:rsid w:val="008B7116"/>
    <w:rsid w:val="008C0703"/>
    <w:rsid w:val="008D25D4"/>
    <w:rsid w:val="008D5A11"/>
    <w:rsid w:val="008E6445"/>
    <w:rsid w:val="008F0CD0"/>
    <w:rsid w:val="00914BE5"/>
    <w:rsid w:val="009211E4"/>
    <w:rsid w:val="00923F36"/>
    <w:rsid w:val="00933B60"/>
    <w:rsid w:val="00954813"/>
    <w:rsid w:val="0096111D"/>
    <w:rsid w:val="009737FE"/>
    <w:rsid w:val="00986C7A"/>
    <w:rsid w:val="00996460"/>
    <w:rsid w:val="009A3152"/>
    <w:rsid w:val="009B1050"/>
    <w:rsid w:val="009B32AF"/>
    <w:rsid w:val="009C27DC"/>
    <w:rsid w:val="009E5A6B"/>
    <w:rsid w:val="00A0251C"/>
    <w:rsid w:val="00A347F8"/>
    <w:rsid w:val="00A35C4F"/>
    <w:rsid w:val="00A46564"/>
    <w:rsid w:val="00A51A5D"/>
    <w:rsid w:val="00A51D52"/>
    <w:rsid w:val="00AA6DA1"/>
    <w:rsid w:val="00AA75D8"/>
    <w:rsid w:val="00AC68CF"/>
    <w:rsid w:val="00AD4D2B"/>
    <w:rsid w:val="00AE017B"/>
    <w:rsid w:val="00AE6E36"/>
    <w:rsid w:val="00AF472F"/>
    <w:rsid w:val="00B175F5"/>
    <w:rsid w:val="00B32FAB"/>
    <w:rsid w:val="00B64D88"/>
    <w:rsid w:val="00B6773E"/>
    <w:rsid w:val="00B83CF4"/>
    <w:rsid w:val="00B94885"/>
    <w:rsid w:val="00B94E1F"/>
    <w:rsid w:val="00BB36E6"/>
    <w:rsid w:val="00BD7549"/>
    <w:rsid w:val="00BE18B4"/>
    <w:rsid w:val="00BE6CD9"/>
    <w:rsid w:val="00BF2D13"/>
    <w:rsid w:val="00C35F99"/>
    <w:rsid w:val="00C559D7"/>
    <w:rsid w:val="00C55B4C"/>
    <w:rsid w:val="00C70E08"/>
    <w:rsid w:val="00C76191"/>
    <w:rsid w:val="00C81A73"/>
    <w:rsid w:val="00CB0AE0"/>
    <w:rsid w:val="00CB1BC6"/>
    <w:rsid w:val="00CC05AD"/>
    <w:rsid w:val="00CD1E26"/>
    <w:rsid w:val="00CF57A8"/>
    <w:rsid w:val="00D137CE"/>
    <w:rsid w:val="00D26A05"/>
    <w:rsid w:val="00D70A91"/>
    <w:rsid w:val="00D72350"/>
    <w:rsid w:val="00D759B2"/>
    <w:rsid w:val="00D959E9"/>
    <w:rsid w:val="00DB45DC"/>
    <w:rsid w:val="00DC180D"/>
    <w:rsid w:val="00DD10A8"/>
    <w:rsid w:val="00DD5B04"/>
    <w:rsid w:val="00DE33F3"/>
    <w:rsid w:val="00DF5203"/>
    <w:rsid w:val="00E316E9"/>
    <w:rsid w:val="00E37F02"/>
    <w:rsid w:val="00E50624"/>
    <w:rsid w:val="00E85B70"/>
    <w:rsid w:val="00E862C6"/>
    <w:rsid w:val="00EA1A2B"/>
    <w:rsid w:val="00EA4705"/>
    <w:rsid w:val="00ED3791"/>
    <w:rsid w:val="00ED5DF0"/>
    <w:rsid w:val="00ED5EF9"/>
    <w:rsid w:val="00EE22CE"/>
    <w:rsid w:val="00EE6CE6"/>
    <w:rsid w:val="00EF7B2A"/>
    <w:rsid w:val="00F3437A"/>
    <w:rsid w:val="00F40071"/>
    <w:rsid w:val="00F6014C"/>
    <w:rsid w:val="00F61524"/>
    <w:rsid w:val="00F806FC"/>
    <w:rsid w:val="00F932B8"/>
    <w:rsid w:val="00F94564"/>
    <w:rsid w:val="00FA2581"/>
    <w:rsid w:val="00FA28C6"/>
    <w:rsid w:val="00FB3352"/>
    <w:rsid w:val="00FB3ADF"/>
    <w:rsid w:val="00FB69CD"/>
    <w:rsid w:val="00FB6E15"/>
    <w:rsid w:val="00FD560F"/>
    <w:rsid w:val="00FE3450"/>
    <w:rsid w:val="00FE450D"/>
    <w:rsid w:val="02203D04"/>
    <w:rsid w:val="114141C3"/>
    <w:rsid w:val="140021A6"/>
    <w:rsid w:val="1BE3240B"/>
    <w:rsid w:val="1DD42B95"/>
    <w:rsid w:val="1E3F207D"/>
    <w:rsid w:val="20862B8A"/>
    <w:rsid w:val="215E12DA"/>
    <w:rsid w:val="24B50E64"/>
    <w:rsid w:val="287A1B53"/>
    <w:rsid w:val="2F8965CC"/>
    <w:rsid w:val="32871242"/>
    <w:rsid w:val="35647660"/>
    <w:rsid w:val="38CE330D"/>
    <w:rsid w:val="3E896313"/>
    <w:rsid w:val="3F7D588E"/>
    <w:rsid w:val="43AB5D4B"/>
    <w:rsid w:val="457924BF"/>
    <w:rsid w:val="47CA7B0A"/>
    <w:rsid w:val="4DA74689"/>
    <w:rsid w:val="4F1B6621"/>
    <w:rsid w:val="4FF15B66"/>
    <w:rsid w:val="5271788F"/>
    <w:rsid w:val="53AF2FC1"/>
    <w:rsid w:val="55FE12A0"/>
    <w:rsid w:val="5F83381E"/>
    <w:rsid w:val="607930B9"/>
    <w:rsid w:val="60CE0258"/>
    <w:rsid w:val="61677B8D"/>
    <w:rsid w:val="6885580D"/>
    <w:rsid w:val="68FF0CF8"/>
    <w:rsid w:val="692D594A"/>
    <w:rsid w:val="70616FB8"/>
    <w:rsid w:val="76BF60D1"/>
    <w:rsid w:val="7A6D6149"/>
    <w:rsid w:val="7CED53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99"/>
    <w:rPr>
      <w:rFonts w:cs="Times New Roman"/>
    </w:rPr>
  </w:style>
  <w:style w:type="character" w:customStyle="1" w:styleId="9">
    <w:name w:val="Header Char"/>
    <w:basedOn w:val="6"/>
    <w:link w:val="4"/>
    <w:semiHidden/>
    <w:qFormat/>
    <w:locked/>
    <w:uiPriority w:val="99"/>
    <w:rPr>
      <w:rFonts w:ascii="Times New Roman" w:hAnsi="Times New Roman" w:cs="Times New Roman"/>
      <w:sz w:val="18"/>
      <w:szCs w:val="18"/>
    </w:rPr>
  </w:style>
  <w:style w:type="character" w:customStyle="1" w:styleId="10">
    <w:name w:val="Footer Char"/>
    <w:basedOn w:val="6"/>
    <w:link w:val="3"/>
    <w:semiHidden/>
    <w:locked/>
    <w:uiPriority w:val="99"/>
    <w:rPr>
      <w:rFonts w:ascii="Times New Roman" w:hAnsi="Times New Roman" w:cs="Times New Roman"/>
      <w:sz w:val="18"/>
      <w:szCs w:val="18"/>
    </w:rPr>
  </w:style>
  <w:style w:type="character" w:customStyle="1" w:styleId="11">
    <w:name w:val="Balloon Text Char"/>
    <w:basedOn w:val="6"/>
    <w:link w:val="2"/>
    <w:semiHidden/>
    <w:qFormat/>
    <w:locked/>
    <w:uiPriority w:val="99"/>
    <w:rPr>
      <w:rFonts w:ascii="Times New Roman" w:hAnsi="Times New Roman" w:cs="Times New Roman"/>
      <w:sz w:val="2"/>
    </w:rPr>
  </w:style>
  <w:style w:type="paragraph" w:customStyle="1" w:styleId="12">
    <w:name w:val="List Paragraph"/>
    <w:basedOn w:val="1"/>
    <w:qFormat/>
    <w:uiPriority w:val="99"/>
    <w:pPr>
      <w:ind w:firstLine="420" w:firstLineChars="200"/>
    </w:pPr>
  </w:style>
  <w:style w:type="paragraph" w:customStyle="1" w:styleId="13">
    <w:name w:val="p0"/>
    <w:basedOn w:val="1"/>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498</Words>
  <Characters>2839</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2018-04-03T00:09:00Z</dcterms:created>
  <dc:creator>lify</dc:creator>
  <cp:lastModifiedBy>rcqzgh</cp:lastModifiedBy>
  <cp:lastPrinted>2018-03-29T02:49:00Z</cp:lastPrinted>
  <dcterms:modified xsi:type="dcterms:W3CDTF">2018-04-04T05:07:28Z</dcterms:modified>
  <dc:title>预算单位部门决算公开模板</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