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预算单位部门决算公开</w:t>
      </w:r>
    </w:p>
    <w:p>
      <w:pPr>
        <w:ind w:left="420"/>
        <w:jc w:val="center"/>
        <w:rPr>
          <w:rFonts w:ascii="黑体" w:hAnsi="宋体" w:eastAsia="黑体"/>
          <w:b/>
          <w:sz w:val="44"/>
          <w:szCs w:val="44"/>
        </w:rPr>
      </w:pPr>
      <w:r>
        <w:rPr>
          <w:rFonts w:ascii="方正小标宋简体" w:eastAsia="方正小标宋简体"/>
          <w:sz w:val="44"/>
          <w:szCs w:val="44"/>
        </w:rPr>
        <w:br w:type="page"/>
      </w:r>
      <w:r>
        <w:rPr>
          <w:rFonts w:hint="eastAsia" w:ascii="黑体" w:hAnsi="宋体" w:eastAsia="黑体"/>
          <w:b/>
          <w:sz w:val="44"/>
          <w:szCs w:val="44"/>
        </w:rPr>
        <w:t>目</w:t>
      </w:r>
      <w:r>
        <w:rPr>
          <w:rFonts w:ascii="黑体" w:hAnsi="宋体" w:eastAsia="黑体"/>
          <w:b/>
          <w:sz w:val="44"/>
          <w:szCs w:val="44"/>
        </w:rPr>
        <w:t xml:space="preserve">       </w:t>
      </w:r>
      <w:r>
        <w:rPr>
          <w:rFonts w:hint="eastAsia" w:ascii="黑体" w:hAnsi="宋体" w:eastAsia="黑体"/>
          <w:b/>
          <w:sz w:val="44"/>
          <w:szCs w:val="44"/>
        </w:rPr>
        <w:t>录</w:t>
      </w:r>
    </w:p>
    <w:p>
      <w:pPr>
        <w:jc w:val="center"/>
        <w:rPr>
          <w:rFonts w:ascii="仿宋_GB2312" w:hAnsi="宋体" w:eastAsia="仿宋_GB2312"/>
          <w:sz w:val="32"/>
          <w:szCs w:val="32"/>
        </w:rPr>
      </w:pPr>
    </w:p>
    <w:p>
      <w:pPr>
        <w:spacing w:line="288" w:lineRule="auto"/>
        <w:ind w:firstLine="723" w:firstLineChars="200"/>
        <w:outlineLvl w:val="0"/>
        <w:rPr>
          <w:rFonts w:ascii="宋体"/>
          <w:b/>
          <w:sz w:val="36"/>
          <w:szCs w:val="36"/>
        </w:rPr>
      </w:pPr>
      <w:r>
        <w:rPr>
          <w:rFonts w:hint="eastAsia" w:ascii="宋体" w:hAnsi="宋体"/>
          <w:b/>
          <w:sz w:val="36"/>
          <w:szCs w:val="36"/>
        </w:rPr>
        <w:t>第一部分</w:t>
      </w:r>
      <w:r>
        <w:rPr>
          <w:rFonts w:ascii="宋体" w:hAnsi="宋体"/>
          <w:b/>
          <w:sz w:val="36"/>
          <w:szCs w:val="36"/>
        </w:rPr>
        <w:t xml:space="preserve">   </w:t>
      </w:r>
      <w:r>
        <w:rPr>
          <w:rFonts w:hint="eastAsia" w:ascii="宋体" w:hAnsi="宋体"/>
          <w:b/>
          <w:sz w:val="36"/>
          <w:szCs w:val="36"/>
        </w:rPr>
        <w:t>榕城区总工会概况</w:t>
      </w:r>
    </w:p>
    <w:p>
      <w:pPr>
        <w:spacing w:line="288" w:lineRule="auto"/>
        <w:ind w:left="800"/>
        <w:rPr>
          <w:rFonts w:ascii="仿宋_GB2312" w:eastAsia="仿宋_GB2312"/>
          <w:sz w:val="32"/>
          <w:szCs w:val="32"/>
        </w:rPr>
      </w:pPr>
      <w:r>
        <w:rPr>
          <w:rFonts w:hint="eastAsia" w:ascii="仿宋_GB2312" w:eastAsia="仿宋_GB2312"/>
          <w:sz w:val="32"/>
          <w:szCs w:val="32"/>
        </w:rPr>
        <w:t>一、部门职责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二、机构设置</w:t>
      </w:r>
    </w:p>
    <w:p>
      <w:pPr>
        <w:spacing w:line="288" w:lineRule="auto"/>
        <w:ind w:firstLine="723" w:firstLineChars="200"/>
        <w:outlineLvl w:val="0"/>
        <w:rPr>
          <w:rFonts w:ascii="宋体"/>
          <w:b/>
          <w:sz w:val="36"/>
          <w:szCs w:val="36"/>
        </w:rPr>
      </w:pPr>
      <w:r>
        <w:rPr>
          <w:rFonts w:hint="eastAsia" w:ascii="宋体" w:hAnsi="宋体"/>
          <w:b/>
          <w:sz w:val="36"/>
          <w:szCs w:val="36"/>
        </w:rPr>
        <w:t>第二部分</w:t>
      </w:r>
      <w:r>
        <w:rPr>
          <w:rFonts w:ascii="宋体" w:hAnsi="宋体"/>
          <w:b/>
          <w:sz w:val="36"/>
          <w:szCs w:val="36"/>
        </w:rPr>
        <w:t xml:space="preserve">  </w:t>
      </w:r>
      <w:r>
        <w:rPr>
          <w:rFonts w:hint="eastAsia" w:ascii="宋体" w:hAnsi="宋体"/>
          <w:b/>
          <w:sz w:val="36"/>
          <w:szCs w:val="36"/>
        </w:rPr>
        <w:t>榕城区总工会</w:t>
      </w:r>
      <w:r>
        <w:rPr>
          <w:rFonts w:ascii="宋体" w:hAnsi="宋体"/>
          <w:b/>
          <w:sz w:val="36"/>
          <w:szCs w:val="36"/>
        </w:rPr>
        <w:t>2015</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b/>
          <w:sz w:val="36"/>
          <w:szCs w:val="36"/>
        </w:rPr>
      </w:pPr>
      <w:r>
        <w:rPr>
          <w:rFonts w:hint="eastAsia" w:ascii="宋体" w:hAnsi="宋体"/>
          <w:b/>
          <w:sz w:val="36"/>
          <w:szCs w:val="36"/>
        </w:rPr>
        <w:t>第三部分</w:t>
      </w:r>
      <w:r>
        <w:rPr>
          <w:rFonts w:ascii="宋体" w:hAnsi="宋体"/>
          <w:b/>
          <w:sz w:val="36"/>
          <w:szCs w:val="36"/>
        </w:rPr>
        <w:t xml:space="preserve">  </w:t>
      </w:r>
      <w:r>
        <w:rPr>
          <w:rFonts w:hint="eastAsia" w:ascii="宋体" w:hAnsi="宋体"/>
          <w:b/>
          <w:sz w:val="36"/>
          <w:szCs w:val="36"/>
        </w:rPr>
        <w:t>榕城区总工会</w:t>
      </w:r>
      <w:r>
        <w:rPr>
          <w:rFonts w:ascii="宋体" w:hAnsi="宋体"/>
          <w:b/>
          <w:sz w:val="36"/>
          <w:szCs w:val="36"/>
        </w:rPr>
        <w:t>2015</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b/>
          <w:sz w:val="36"/>
          <w:szCs w:val="36"/>
        </w:rPr>
      </w:pPr>
      <w:r>
        <w:rPr>
          <w:rFonts w:hint="eastAsia" w:ascii="宋体" w:hAnsi="宋体"/>
          <w:b/>
          <w:sz w:val="36"/>
          <w:szCs w:val="36"/>
        </w:rPr>
        <w:t>第四部分</w:t>
      </w:r>
      <w:r>
        <w:rPr>
          <w:rFonts w:ascii="宋体" w:hAnsi="宋体"/>
          <w:b/>
          <w:sz w:val="36"/>
          <w:szCs w:val="36"/>
        </w:rPr>
        <w:t xml:space="preserve">  </w:t>
      </w:r>
      <w:r>
        <w:rPr>
          <w:rFonts w:hint="eastAsia" w:ascii="宋体" w:hAnsi="宋体"/>
          <w:b/>
          <w:sz w:val="36"/>
          <w:szCs w:val="36"/>
        </w:rPr>
        <w:t>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b/>
          <w:sz w:val="36"/>
          <w:szCs w:val="36"/>
        </w:rPr>
      </w:pPr>
      <w:r>
        <w:rPr>
          <w:rFonts w:hint="eastAsia" w:ascii="宋体" w:hAnsi="宋体"/>
          <w:b/>
          <w:sz w:val="36"/>
          <w:szCs w:val="36"/>
        </w:rPr>
        <w:t>第一部分</w:t>
      </w:r>
      <w:r>
        <w:rPr>
          <w:rFonts w:ascii="宋体" w:hAnsi="宋体"/>
          <w:b/>
          <w:sz w:val="36"/>
          <w:szCs w:val="36"/>
        </w:rPr>
        <w:t xml:space="preserve">   </w:t>
      </w:r>
      <w:r>
        <w:rPr>
          <w:rFonts w:hint="eastAsia" w:ascii="宋体" w:hAnsi="宋体"/>
          <w:b/>
          <w:sz w:val="36"/>
          <w:szCs w:val="36"/>
        </w:rPr>
        <w:t>榕城区总工会概况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spacing w:line="500" w:lineRule="exact"/>
        <w:ind w:firstLine="627" w:firstLineChars="196"/>
        <w:rPr>
          <w:rFonts w:ascii="仿宋_GB2312" w:hAnsi="宋体" w:eastAsia="仿宋_GB2312"/>
          <w:color w:val="000000"/>
          <w:sz w:val="32"/>
          <w:szCs w:val="32"/>
        </w:rPr>
      </w:pPr>
      <w:r>
        <w:rPr>
          <w:rFonts w:hint="eastAsia" w:ascii="仿宋_GB2312" w:hAnsi="宋体" w:eastAsia="仿宋_GB2312"/>
          <w:color w:val="000000"/>
          <w:sz w:val="32"/>
          <w:szCs w:val="32"/>
        </w:rPr>
        <w:t>榕城区总工会是区委领导下负责工会工作的群众团体。其主要任务是：</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（一）贯彻落实党和国家关于工会工作的方针政策，研究、制订全区工会工作计划，并组织实施。</w:t>
      </w:r>
    </w:p>
    <w:p>
      <w:pPr>
        <w:spacing w:line="500" w:lineRule="exact"/>
        <w:ind w:firstLine="467" w:firstLineChars="146"/>
        <w:rPr>
          <w:rFonts w:ascii="仿宋_GB2312" w:hAnsi="宋体" w:eastAsia="仿宋_GB2312"/>
          <w:bCs/>
          <w:color w:val="000000"/>
          <w:sz w:val="32"/>
          <w:szCs w:val="32"/>
        </w:rPr>
      </w:pPr>
      <w:r>
        <w:rPr>
          <w:rFonts w:hint="eastAsia" w:ascii="仿宋_GB2312" w:hAnsi="宋体" w:eastAsia="仿宋_GB2312"/>
          <w:bCs/>
          <w:color w:val="000000"/>
          <w:sz w:val="32"/>
          <w:szCs w:val="32"/>
        </w:rPr>
        <w:t>（二）依法组建工会和发展工会会员。指导基层工会的组织建设，做好工会干部培训教育工作。</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（三）指导基层工会参与民主管理，对企事业的劳动安全卫生保护实施职工群众监督检查，依法调处劳动关系。</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（四）协助有关部门做好职工生活福利和社会保障工作，维护职工合法权益。</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（五）组织、指导职工开展劳动竞赛、技术革新、合理化建议、职工群众科技活动，做好劳模、先进生产（工作）者及先进集体的评选推荐和管理工作。</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（六）指导基层工会开展职工的政治思想、文化、技术教育和健康的文体、娱乐活动。</w:t>
      </w:r>
    </w:p>
    <w:p>
      <w:pPr>
        <w:spacing w:line="500" w:lineRule="exact"/>
        <w:ind w:firstLine="470" w:firstLineChars="147"/>
        <w:rPr>
          <w:rFonts w:ascii="仿宋_GB2312" w:hAnsi="宋体" w:eastAsia="仿宋_GB2312"/>
          <w:bCs/>
          <w:color w:val="000000"/>
          <w:sz w:val="32"/>
          <w:szCs w:val="32"/>
        </w:rPr>
      </w:pPr>
      <w:r>
        <w:rPr>
          <w:rFonts w:hint="eastAsia" w:ascii="仿宋_GB2312" w:hAnsi="宋体" w:eastAsia="仿宋_GB2312"/>
          <w:bCs/>
          <w:color w:val="000000"/>
          <w:sz w:val="32"/>
          <w:szCs w:val="32"/>
        </w:rPr>
        <w:t>（七）承办区委和市总工会交办的其他事项。</w:t>
      </w:r>
    </w:p>
    <w:p>
      <w:pPr>
        <w:spacing w:line="288" w:lineRule="auto"/>
        <w:ind w:firstLine="640" w:firstLineChars="200"/>
        <w:rPr>
          <w:rFonts w:ascii="仿宋_GB2312" w:eastAsia="仿宋_GB2312"/>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ind w:firstLine="555"/>
        <w:jc w:val="left"/>
        <w:rPr>
          <w:rFonts w:hint="eastAsia" w:ascii="仿宋_GB2312" w:eastAsia="仿宋_GB2312"/>
          <w:sz w:val="32"/>
          <w:szCs w:val="32"/>
        </w:rPr>
      </w:pPr>
      <w:r>
        <w:rPr>
          <w:rFonts w:hint="eastAsia" w:ascii="仿宋_GB2312" w:eastAsia="仿宋_GB2312"/>
          <w:sz w:val="32"/>
          <w:szCs w:val="32"/>
        </w:rPr>
        <w:t>（一）榕城区总工会设</w:t>
      </w:r>
      <w:r>
        <w:rPr>
          <w:rFonts w:ascii="仿宋_GB2312" w:eastAsia="仿宋_GB2312"/>
          <w:sz w:val="32"/>
          <w:szCs w:val="32"/>
        </w:rPr>
        <w:t>2</w:t>
      </w:r>
      <w:r>
        <w:rPr>
          <w:rFonts w:hint="eastAsia" w:ascii="仿宋_GB2312" w:eastAsia="仿宋_GB2312"/>
          <w:sz w:val="32"/>
          <w:szCs w:val="32"/>
        </w:rPr>
        <w:t>个内设机构：办公室、综合业务部</w:t>
      </w:r>
      <w:r>
        <w:rPr>
          <w:rFonts w:hint="eastAsia" w:ascii="仿宋_GB2312" w:eastAsia="仿宋_GB2312"/>
          <w:sz w:val="32"/>
          <w:szCs w:val="32"/>
          <w:lang w:eastAsia="zh-CN"/>
        </w:rPr>
        <w:t>及有</w:t>
      </w:r>
      <w:r>
        <w:rPr>
          <w:rFonts w:hint="eastAsia" w:ascii="仿宋_GB2312" w:eastAsia="仿宋_GB2312"/>
          <w:sz w:val="32"/>
          <w:szCs w:val="32"/>
          <w:lang w:val="en-US" w:eastAsia="zh-CN"/>
        </w:rPr>
        <w:t>1下属事业单位（榕城区工人文化宫）</w:t>
      </w:r>
      <w:r>
        <w:rPr>
          <w:rFonts w:hint="eastAsia" w:ascii="仿宋_GB2312" w:eastAsia="仿宋_GB2312"/>
          <w:sz w:val="32"/>
          <w:szCs w:val="32"/>
        </w:rPr>
        <w:t>。</w:t>
      </w:r>
    </w:p>
    <w:p>
      <w:pPr>
        <w:ind w:firstLine="588" w:firstLineChars="196"/>
        <w:rPr>
          <w:rFonts w:hint="eastAsia" w:ascii="仿宋_GB2312" w:hAnsi="宋体" w:eastAsia="仿宋_GB2312"/>
          <w:color w:val="000000"/>
          <w:sz w:val="30"/>
          <w:szCs w:val="30"/>
        </w:rPr>
      </w:pPr>
      <w:r>
        <w:rPr>
          <w:rFonts w:hint="eastAsia" w:ascii="仿宋_GB2312" w:hAnsi="宋体" w:eastAsia="仿宋_GB2312"/>
          <w:color w:val="000000"/>
          <w:sz w:val="30"/>
          <w:szCs w:val="30"/>
        </w:rPr>
        <w:t>我会行政编制5人，工人文化宫事业编制</w:t>
      </w:r>
      <w:r>
        <w:rPr>
          <w:rFonts w:hint="eastAsia" w:ascii="仿宋_GB2312" w:hAnsi="宋体" w:eastAsia="仿宋_GB2312"/>
          <w:color w:val="000000"/>
          <w:sz w:val="30"/>
          <w:szCs w:val="30"/>
          <w:lang w:val="en-US" w:eastAsia="zh-CN"/>
        </w:rPr>
        <w:t>5</w:t>
      </w:r>
      <w:r>
        <w:rPr>
          <w:rFonts w:hint="eastAsia" w:ascii="仿宋_GB2312" w:hAnsi="宋体" w:eastAsia="仿宋_GB2312"/>
          <w:color w:val="000000"/>
          <w:sz w:val="30"/>
          <w:szCs w:val="30"/>
        </w:rPr>
        <w:t>人，共</w:t>
      </w:r>
      <w:r>
        <w:rPr>
          <w:rFonts w:hint="eastAsia" w:ascii="仿宋_GB2312" w:hAnsi="宋体" w:eastAsia="仿宋_GB2312"/>
          <w:color w:val="000000"/>
          <w:sz w:val="30"/>
          <w:szCs w:val="30"/>
          <w:lang w:val="en-US" w:eastAsia="zh-CN"/>
        </w:rPr>
        <w:t>10</w:t>
      </w:r>
      <w:bookmarkStart w:id="0" w:name="_GoBack"/>
      <w:bookmarkEnd w:id="0"/>
      <w:r>
        <w:rPr>
          <w:rFonts w:hint="eastAsia" w:ascii="仿宋_GB2312" w:hAnsi="宋体" w:eastAsia="仿宋_GB2312"/>
          <w:color w:val="000000"/>
          <w:sz w:val="30"/>
          <w:szCs w:val="30"/>
        </w:rPr>
        <w:t>人。</w:t>
      </w:r>
    </w:p>
    <w:p>
      <w:pPr>
        <w:ind w:firstLine="555"/>
        <w:jc w:val="left"/>
        <w:rPr>
          <w:rFonts w:hint="eastAsia" w:ascii="仿宋_GB2312" w:eastAsia="仿宋_GB2312"/>
          <w:sz w:val="32"/>
          <w:szCs w:val="32"/>
        </w:rPr>
      </w:pPr>
    </w:p>
    <w:p>
      <w:pPr>
        <w:ind w:firstLine="640" w:firstLineChars="200"/>
        <w:jc w:val="left"/>
        <w:rPr>
          <w:rFonts w:ascii="仿宋_GB2312" w:eastAsia="仿宋_GB2312"/>
          <w:sz w:val="32"/>
          <w:szCs w:val="32"/>
        </w:rPr>
      </w:pPr>
      <w:r>
        <w:rPr>
          <w:rFonts w:hint="eastAsia" w:ascii="仿宋_GB2312" w:eastAsia="仿宋_GB2312"/>
          <w:sz w:val="32"/>
          <w:szCs w:val="32"/>
        </w:rPr>
        <w:t>（二）部门预算为本级预算。</w:t>
      </w:r>
    </w:p>
    <w:p>
      <w:pPr>
        <w:ind w:firstLine="555"/>
        <w:jc w:val="left"/>
        <w:rPr>
          <w:rFonts w:ascii="仿宋_GB2312" w:eastAsia="仿宋_GB2312"/>
          <w:sz w:val="32"/>
          <w:szCs w:val="32"/>
        </w:rPr>
      </w:pPr>
    </w:p>
    <w:p>
      <w:pPr>
        <w:ind w:firstLine="555"/>
        <w:jc w:val="left"/>
        <w:rPr>
          <w:rFonts w:ascii="仿宋_GB2312" w:eastAsia="仿宋_GB2312"/>
          <w:sz w:val="32"/>
          <w:szCs w:val="32"/>
        </w:rPr>
      </w:pPr>
    </w:p>
    <w:p>
      <w:pPr>
        <w:spacing w:line="288" w:lineRule="auto"/>
        <w:ind w:firstLine="723" w:firstLineChars="200"/>
        <w:outlineLvl w:val="0"/>
        <w:rPr>
          <w:rFonts w:ascii="宋体"/>
          <w:b/>
          <w:sz w:val="36"/>
          <w:szCs w:val="36"/>
        </w:rPr>
      </w:pPr>
      <w:r>
        <w:rPr>
          <w:rFonts w:hint="eastAsia" w:ascii="宋体" w:hAnsi="宋体"/>
          <w:b/>
          <w:sz w:val="36"/>
          <w:szCs w:val="36"/>
        </w:rPr>
        <w:t>第二部分</w:t>
      </w:r>
      <w:r>
        <w:rPr>
          <w:rFonts w:ascii="宋体" w:hAnsi="宋体"/>
          <w:b/>
          <w:sz w:val="36"/>
          <w:szCs w:val="36"/>
        </w:rPr>
        <w:t xml:space="preserve">   </w:t>
      </w:r>
      <w:r>
        <w:rPr>
          <w:rFonts w:hint="eastAsia" w:ascii="宋体" w:hAnsi="宋体"/>
          <w:b/>
          <w:sz w:val="36"/>
          <w:szCs w:val="36"/>
        </w:rPr>
        <w:t>榕城区总工会</w:t>
      </w:r>
      <w:r>
        <w:rPr>
          <w:rFonts w:ascii="宋体" w:hAnsi="宋体"/>
          <w:b/>
          <w:sz w:val="36"/>
          <w:szCs w:val="36"/>
        </w:rPr>
        <w:t>2015</w:t>
      </w:r>
      <w:r>
        <w:rPr>
          <w:rFonts w:hint="eastAsia" w:ascii="宋体" w:hAnsi="宋体"/>
          <w:b/>
          <w:sz w:val="36"/>
          <w:szCs w:val="36"/>
        </w:rPr>
        <w:t>年部门决算表</w:t>
      </w:r>
    </w:p>
    <w:tbl>
      <w:tblPr>
        <w:tblStyle w:val="8"/>
        <w:tblW w:w="9088" w:type="dxa"/>
        <w:tblInd w:w="93" w:type="dxa"/>
        <w:tblLayout w:type="fixed"/>
        <w:tblCellMar>
          <w:top w:w="0" w:type="dxa"/>
          <w:left w:w="108" w:type="dxa"/>
          <w:bottom w:w="0" w:type="dxa"/>
          <w:right w:w="108" w:type="dxa"/>
        </w:tblCellMar>
      </w:tblPr>
      <w:tblGrid>
        <w:gridCol w:w="2567"/>
        <w:gridCol w:w="769"/>
        <w:gridCol w:w="1074"/>
        <w:gridCol w:w="2693"/>
        <w:gridCol w:w="769"/>
        <w:gridCol w:w="1216"/>
      </w:tblGrid>
      <w:tr>
        <w:tblPrEx>
          <w:tblLayout w:type="fixed"/>
          <w:tblCellMar>
            <w:top w:w="0" w:type="dxa"/>
            <w:left w:w="108" w:type="dxa"/>
            <w:bottom w:w="0" w:type="dxa"/>
            <w:right w:w="108" w:type="dxa"/>
          </w:tblCellMar>
        </w:tblPrEx>
        <w:trPr>
          <w:trHeight w:val="360" w:hRule="atLeast"/>
        </w:trPr>
        <w:tc>
          <w:tcPr>
            <w:tcW w:w="9088" w:type="dxa"/>
            <w:gridSpan w:val="6"/>
            <w:vAlign w:val="center"/>
          </w:tcPr>
          <w:p>
            <w:pPr>
              <w:ind w:firstLine="555"/>
              <w:jc w:val="left"/>
              <w:rPr>
                <w:rFonts w:ascii="仿宋_GB2312" w:eastAsia="仿宋_GB2312"/>
                <w:sz w:val="32"/>
                <w:szCs w:val="32"/>
              </w:rPr>
            </w:pPr>
            <w:r>
              <w:rPr>
                <w:rFonts w:hint="eastAsia" w:ascii="仿宋_GB2312" w:eastAsia="仿宋_GB2312"/>
                <w:sz w:val="32"/>
                <w:szCs w:val="32"/>
              </w:rPr>
              <w:t>各部门应当公开</w:t>
            </w:r>
            <w:r>
              <w:rPr>
                <w:rFonts w:ascii="仿宋_GB2312" w:eastAsia="仿宋_GB2312"/>
                <w:sz w:val="32"/>
                <w:szCs w:val="32"/>
              </w:rPr>
              <w:t>8</w:t>
            </w:r>
            <w:r>
              <w:rPr>
                <w:rFonts w:hint="eastAsia" w:ascii="仿宋_GB2312" w:eastAsia="仿宋_GB2312"/>
                <w:sz w:val="32"/>
                <w:szCs w:val="32"/>
              </w:rPr>
              <w:t>张部门决算表格，包括：</w:t>
            </w:r>
            <w:r>
              <w:rPr>
                <w:rFonts w:ascii="仿宋_GB2312" w:eastAsia="仿宋_GB2312"/>
                <w:sz w:val="32"/>
                <w:szCs w:val="32"/>
              </w:rPr>
              <w:t>1.</w:t>
            </w:r>
            <w:r>
              <w:rPr>
                <w:rFonts w:hint="eastAsia" w:ascii="仿宋_GB2312" w:eastAsia="仿宋_GB2312"/>
                <w:sz w:val="32"/>
                <w:szCs w:val="32"/>
              </w:rPr>
              <w:t>收支总表（</w:t>
            </w:r>
            <w:r>
              <w:rPr>
                <w:rFonts w:ascii="仿宋_GB2312" w:eastAsia="仿宋_GB2312"/>
                <w:sz w:val="32"/>
                <w:szCs w:val="32"/>
              </w:rPr>
              <w:t>3</w:t>
            </w:r>
            <w:r>
              <w:rPr>
                <w:rFonts w:hint="eastAsia" w:ascii="仿宋_GB2312" w:eastAsia="仿宋_GB2312"/>
                <w:sz w:val="32"/>
                <w:szCs w:val="32"/>
              </w:rPr>
              <w:t>张），即：《收入支出决算总表》、《收入决算表》、《支出决算表》；</w:t>
            </w:r>
            <w:r>
              <w:rPr>
                <w:rFonts w:ascii="仿宋_GB2312" w:eastAsia="仿宋_GB2312"/>
                <w:sz w:val="32"/>
                <w:szCs w:val="32"/>
              </w:rPr>
              <w:t>2.</w:t>
            </w:r>
            <w:r>
              <w:rPr>
                <w:rFonts w:hint="eastAsia" w:ascii="仿宋_GB2312" w:eastAsia="仿宋_GB2312"/>
                <w:sz w:val="32"/>
                <w:szCs w:val="32"/>
              </w:rPr>
              <w:t>财政拨款收支表（</w:t>
            </w:r>
            <w:r>
              <w:rPr>
                <w:rFonts w:ascii="仿宋_GB2312" w:eastAsia="仿宋_GB2312"/>
                <w:sz w:val="32"/>
                <w:szCs w:val="32"/>
              </w:rPr>
              <w:t>5</w:t>
            </w:r>
            <w:r>
              <w:rPr>
                <w:rFonts w:hint="eastAsia" w:ascii="仿宋_GB2312" w:eastAsia="仿宋_GB2312"/>
                <w:sz w:val="32"/>
                <w:szCs w:val="32"/>
              </w:rPr>
              <w:t>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r>
              <w:rPr>
                <w:rFonts w:ascii="仿宋_GB2312" w:eastAsia="仿宋_GB2312"/>
                <w:sz w:val="32"/>
                <w:szCs w:val="32"/>
              </w:rPr>
              <w:t>(</w:t>
            </w:r>
            <w:r>
              <w:rPr>
                <w:rFonts w:hint="eastAsia" w:ascii="仿宋_GB2312" w:eastAsia="仿宋_GB2312"/>
                <w:sz w:val="32"/>
                <w:szCs w:val="32"/>
              </w:rPr>
              <w:t>表格公开以</w:t>
            </w:r>
            <w:r>
              <w:rPr>
                <w:rFonts w:ascii="仿宋_GB2312" w:eastAsia="仿宋_GB2312"/>
                <w:sz w:val="32"/>
                <w:szCs w:val="32"/>
              </w:rPr>
              <w:t>EXCEL</w:t>
            </w:r>
            <w:r>
              <w:rPr>
                <w:rFonts w:hint="eastAsia" w:ascii="仿宋_GB2312" w:eastAsia="仿宋_GB2312"/>
                <w:sz w:val="32"/>
                <w:szCs w:val="32"/>
              </w:rPr>
              <w:t>电子表格公开，公开表格另附</w:t>
            </w:r>
            <w:r>
              <w:rPr>
                <w:rFonts w:ascii="仿宋_GB2312" w:eastAsia="仿宋_GB2312"/>
                <w:sz w:val="32"/>
                <w:szCs w:val="32"/>
              </w:rPr>
              <w:t>)</w:t>
            </w:r>
          </w:p>
          <w:p>
            <w:pPr>
              <w:widowControl/>
              <w:jc w:val="center"/>
              <w:rPr>
                <w:rFonts w:ascii="华文中宋" w:hAnsi="华文中宋" w:eastAsia="华文中宋" w:cs="宋体"/>
                <w:color w:val="FF0000"/>
                <w:kern w:val="0"/>
                <w:sz w:val="32"/>
                <w:szCs w:val="32"/>
              </w:rPr>
            </w:pPr>
          </w:p>
        </w:tc>
      </w:tr>
      <w:tr>
        <w:tblPrEx>
          <w:tblLayout w:type="fixed"/>
          <w:tblCellMar>
            <w:top w:w="0" w:type="dxa"/>
            <w:left w:w="108" w:type="dxa"/>
            <w:bottom w:w="0" w:type="dxa"/>
            <w:right w:w="108" w:type="dxa"/>
          </w:tblCellMar>
        </w:tblPrEx>
        <w:trPr>
          <w:trHeight w:val="199" w:hRule="atLeast"/>
        </w:trPr>
        <w:tc>
          <w:tcPr>
            <w:tcW w:w="2567" w:type="dxa"/>
            <w:shd w:val="clear" w:color="auto" w:fill="FFFFFF"/>
            <w:vAlign w:val="center"/>
          </w:tcPr>
          <w:p>
            <w:pPr>
              <w:widowControl/>
              <w:jc w:val="right"/>
              <w:rPr>
                <w:rFonts w:ascii="宋体" w:cs="宋体"/>
                <w:color w:val="FF0000"/>
                <w:kern w:val="0"/>
                <w:sz w:val="24"/>
              </w:rPr>
            </w:pPr>
          </w:p>
        </w:tc>
        <w:tc>
          <w:tcPr>
            <w:tcW w:w="769" w:type="dxa"/>
            <w:shd w:val="clear" w:color="auto" w:fill="FFFFFF"/>
            <w:vAlign w:val="center"/>
          </w:tcPr>
          <w:p>
            <w:pPr>
              <w:widowControl/>
              <w:jc w:val="right"/>
              <w:rPr>
                <w:rFonts w:ascii="宋体" w:cs="宋体"/>
                <w:color w:val="FF0000"/>
                <w:kern w:val="0"/>
                <w:sz w:val="24"/>
              </w:rPr>
            </w:pPr>
          </w:p>
        </w:tc>
        <w:tc>
          <w:tcPr>
            <w:tcW w:w="1074" w:type="dxa"/>
            <w:shd w:val="clear" w:color="auto" w:fill="FFFFFF"/>
            <w:vAlign w:val="center"/>
          </w:tcPr>
          <w:p>
            <w:pPr>
              <w:widowControl/>
              <w:jc w:val="right"/>
              <w:rPr>
                <w:rFonts w:ascii="宋体" w:cs="宋体"/>
                <w:color w:val="FF0000"/>
                <w:kern w:val="0"/>
                <w:sz w:val="24"/>
              </w:rPr>
            </w:pPr>
          </w:p>
        </w:tc>
        <w:tc>
          <w:tcPr>
            <w:tcW w:w="2693" w:type="dxa"/>
            <w:shd w:val="clear" w:color="auto" w:fill="FFFFFF"/>
            <w:vAlign w:val="center"/>
          </w:tcPr>
          <w:p>
            <w:pPr>
              <w:widowControl/>
              <w:jc w:val="right"/>
              <w:rPr>
                <w:rFonts w:ascii="宋体" w:cs="宋体"/>
                <w:color w:val="FF0000"/>
                <w:kern w:val="0"/>
                <w:sz w:val="24"/>
              </w:rPr>
            </w:pPr>
          </w:p>
        </w:tc>
        <w:tc>
          <w:tcPr>
            <w:tcW w:w="769" w:type="dxa"/>
            <w:shd w:val="clear" w:color="auto" w:fill="FFFFFF"/>
            <w:vAlign w:val="center"/>
          </w:tcPr>
          <w:p>
            <w:pPr>
              <w:widowControl/>
              <w:jc w:val="right"/>
              <w:rPr>
                <w:rFonts w:ascii="宋体" w:cs="宋体"/>
                <w:color w:val="FF0000"/>
                <w:kern w:val="0"/>
                <w:sz w:val="24"/>
              </w:rPr>
            </w:pPr>
          </w:p>
        </w:tc>
        <w:tc>
          <w:tcPr>
            <w:tcW w:w="1216" w:type="dxa"/>
            <w:shd w:val="clear" w:color="auto" w:fill="FFFFFF"/>
            <w:vAlign w:val="center"/>
          </w:tcPr>
          <w:p>
            <w:pPr>
              <w:widowControl/>
              <w:jc w:val="right"/>
              <w:rPr>
                <w:rFonts w:ascii="宋体" w:cs="宋体"/>
                <w:color w:val="FF0000"/>
                <w:kern w:val="0"/>
                <w:sz w:val="20"/>
                <w:szCs w:val="20"/>
              </w:rPr>
            </w:pPr>
          </w:p>
        </w:tc>
      </w:tr>
    </w:tbl>
    <w:p>
      <w:pPr>
        <w:spacing w:line="288" w:lineRule="auto"/>
        <w:ind w:firstLine="723" w:firstLineChars="200"/>
        <w:outlineLvl w:val="0"/>
        <w:rPr>
          <w:rFonts w:ascii="宋体"/>
          <w:b/>
          <w:sz w:val="36"/>
          <w:szCs w:val="36"/>
        </w:rPr>
      </w:pPr>
      <w:r>
        <w:rPr>
          <w:rFonts w:hint="eastAsia" w:ascii="宋体" w:hAnsi="宋体"/>
          <w:b/>
          <w:sz w:val="36"/>
          <w:szCs w:val="36"/>
        </w:rPr>
        <w:t>第三部分</w:t>
      </w:r>
      <w:r>
        <w:rPr>
          <w:rFonts w:ascii="宋体" w:hAnsi="宋体"/>
          <w:b/>
          <w:sz w:val="36"/>
          <w:szCs w:val="36"/>
        </w:rPr>
        <w:t xml:space="preserve">   </w:t>
      </w:r>
      <w:r>
        <w:rPr>
          <w:rFonts w:hint="eastAsia" w:ascii="宋体" w:hAnsi="宋体"/>
          <w:b/>
          <w:sz w:val="36"/>
          <w:szCs w:val="36"/>
        </w:rPr>
        <w:t>榕城区总工会</w:t>
      </w:r>
      <w:r>
        <w:rPr>
          <w:rFonts w:ascii="宋体" w:hAnsi="宋体"/>
          <w:b/>
          <w:sz w:val="36"/>
          <w:szCs w:val="36"/>
        </w:rPr>
        <w:t>2015</w:t>
      </w:r>
      <w:r>
        <w:rPr>
          <w:rFonts w:hint="eastAsia" w:ascii="宋体" w:hAnsi="宋体"/>
          <w:b/>
          <w:sz w:val="36"/>
          <w:szCs w:val="36"/>
        </w:rPr>
        <w:t>年部门决算结算情况说明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w:t>
      </w:r>
      <w:r>
        <w:rPr>
          <w:rFonts w:ascii="仿宋_GB2312" w:eastAsia="仿宋_GB2312"/>
          <w:b/>
          <w:sz w:val="32"/>
          <w:szCs w:val="32"/>
        </w:rPr>
        <w:t>2015</w:t>
      </w:r>
      <w:r>
        <w:rPr>
          <w:rFonts w:hint="eastAsia" w:ascii="仿宋_GB2312" w:eastAsia="仿宋_GB2312"/>
          <w:b/>
          <w:sz w:val="32"/>
          <w:szCs w:val="32"/>
        </w:rPr>
        <w:t>年度收入支出决算总体情况说明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pStyle w:val="5"/>
        <w:shd w:val="clear" w:color="auto" w:fill="FFFFFF"/>
        <w:spacing w:before="0" w:beforeAutospacing="0" w:after="0" w:afterAutospacing="0" w:line="450" w:lineRule="atLeast"/>
        <w:ind w:firstLine="627" w:firstLineChars="196"/>
        <w:rPr>
          <w:rFonts w:ascii="仿宋_GB2312" w:eastAsia="仿宋_GB2312"/>
          <w:color w:val="000000"/>
          <w:sz w:val="21"/>
          <w:szCs w:val="21"/>
        </w:rPr>
      </w:pPr>
      <w:r>
        <w:rPr>
          <w:rFonts w:ascii="仿宋_GB2312" w:eastAsia="仿宋_GB2312"/>
          <w:sz w:val="32"/>
          <w:szCs w:val="32"/>
        </w:rPr>
        <w:t>1.</w:t>
      </w:r>
      <w:r>
        <w:rPr>
          <w:rFonts w:hint="eastAsia" w:ascii="仿宋_GB2312" w:eastAsia="仿宋_GB2312"/>
          <w:sz w:val="32"/>
          <w:szCs w:val="32"/>
        </w:rPr>
        <w:t>榕城区总工会</w:t>
      </w:r>
      <w:r>
        <w:rPr>
          <w:rFonts w:ascii="仿宋_GB2312" w:eastAsia="仿宋_GB2312"/>
          <w:sz w:val="32"/>
          <w:szCs w:val="32"/>
        </w:rPr>
        <w:t>2015</w:t>
      </w:r>
      <w:r>
        <w:rPr>
          <w:rFonts w:hint="eastAsia" w:ascii="仿宋_GB2312" w:eastAsia="仿宋_GB2312"/>
          <w:sz w:val="32"/>
          <w:szCs w:val="32"/>
        </w:rPr>
        <w:t>年度总收入</w:t>
      </w:r>
      <w:r>
        <w:rPr>
          <w:sz w:val="28"/>
          <w:szCs w:val="28"/>
        </w:rPr>
        <w:t>103.52</w:t>
      </w:r>
      <w:r>
        <w:rPr>
          <w:rFonts w:hint="eastAsia" w:ascii="仿宋_GB2312" w:eastAsia="仿宋_GB2312"/>
          <w:sz w:val="32"/>
          <w:szCs w:val="32"/>
        </w:rPr>
        <w:t>万元，其中本年收入</w:t>
      </w:r>
      <w:r>
        <w:rPr>
          <w:sz w:val="28"/>
          <w:szCs w:val="28"/>
        </w:rPr>
        <w:t>103.52</w:t>
      </w:r>
      <w:r>
        <w:rPr>
          <w:rFonts w:hint="eastAsia" w:ascii="仿宋_GB2312" w:eastAsia="仿宋_GB2312"/>
          <w:sz w:val="32"/>
          <w:szCs w:val="32"/>
        </w:rPr>
        <w:t>万元</w:t>
      </w:r>
      <w:r>
        <w:rPr>
          <w:rFonts w:hint="eastAsia" w:ascii="仿宋_GB2312" w:eastAsia="仿宋_GB2312"/>
          <w:color w:val="000000"/>
          <w:sz w:val="32"/>
          <w:szCs w:val="32"/>
        </w:rPr>
        <w:t>全部为公共财政拨款收入</w:t>
      </w:r>
      <w:r>
        <w:rPr>
          <w:rFonts w:ascii="仿宋_GB2312" w:eastAsia="仿宋_GB2312"/>
          <w:color w:val="000000"/>
          <w:sz w:val="32"/>
          <w:szCs w:val="32"/>
        </w:rPr>
        <w:t>,</w:t>
      </w:r>
      <w:r>
        <w:rPr>
          <w:rFonts w:hint="eastAsia" w:ascii="仿宋_GB2312" w:eastAsia="仿宋_GB2312"/>
          <w:color w:val="000000"/>
          <w:sz w:val="32"/>
          <w:szCs w:val="32"/>
        </w:rPr>
        <w:t>比上年决算数减少</w:t>
      </w:r>
      <w:r>
        <w:rPr>
          <w:rFonts w:ascii="仿宋_GB2312" w:eastAsia="仿宋_GB2312"/>
          <w:color w:val="000000"/>
          <w:sz w:val="32"/>
          <w:szCs w:val="32"/>
        </w:rPr>
        <w:t>3.96</w:t>
      </w:r>
      <w:r>
        <w:rPr>
          <w:rFonts w:hint="eastAsia" w:ascii="仿宋_GB2312" w:eastAsia="仿宋_GB2312"/>
          <w:color w:val="000000"/>
          <w:sz w:val="32"/>
          <w:szCs w:val="32"/>
        </w:rPr>
        <w:t>万元，下降</w:t>
      </w:r>
      <w:r>
        <w:rPr>
          <w:rFonts w:ascii="仿宋_GB2312" w:eastAsia="仿宋_GB2312"/>
          <w:color w:val="000000"/>
          <w:sz w:val="32"/>
          <w:szCs w:val="32"/>
        </w:rPr>
        <w:t>3.68%</w:t>
      </w:r>
      <w:r>
        <w:rPr>
          <w:rFonts w:hint="eastAsia" w:ascii="仿宋_GB2312" w:eastAsia="仿宋_GB2312"/>
          <w:color w:val="000000"/>
          <w:sz w:val="32"/>
          <w:szCs w:val="32"/>
        </w:rPr>
        <w:t>。主要原因是公用经费的压减。</w:t>
      </w:r>
    </w:p>
    <w:p>
      <w:pPr>
        <w:spacing w:line="288" w:lineRule="auto"/>
        <w:ind w:left="160" w:leftChars="76" w:firstLine="480" w:firstLineChars="15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．我</w:t>
      </w:r>
      <w:r>
        <w:rPr>
          <w:rFonts w:hint="eastAsia" w:ascii="仿宋_GB2312" w:eastAsia="仿宋_GB2312"/>
          <w:sz w:val="32"/>
          <w:szCs w:val="32"/>
          <w:lang w:eastAsia="zh-CN"/>
        </w:rPr>
        <w:t>工会</w:t>
      </w:r>
      <w:r>
        <w:rPr>
          <w:rFonts w:hint="eastAsia" w:ascii="仿宋_GB2312" w:eastAsia="仿宋_GB2312"/>
          <w:sz w:val="32"/>
          <w:szCs w:val="32"/>
        </w:rPr>
        <w:t>今年和上年度没有上级补助收入。</w:t>
      </w:r>
    </w:p>
    <w:p>
      <w:pPr>
        <w:spacing w:line="288"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．我</w:t>
      </w:r>
      <w:r>
        <w:rPr>
          <w:rFonts w:hint="eastAsia" w:ascii="仿宋_GB2312" w:eastAsia="仿宋_GB2312"/>
          <w:sz w:val="32"/>
          <w:szCs w:val="32"/>
          <w:lang w:eastAsia="zh-CN"/>
        </w:rPr>
        <w:t>工会</w:t>
      </w:r>
      <w:r>
        <w:rPr>
          <w:rFonts w:hint="eastAsia" w:ascii="仿宋_GB2312" w:eastAsia="仿宋_GB2312"/>
          <w:sz w:val="32"/>
          <w:szCs w:val="32"/>
        </w:rPr>
        <w:t>今年和上年度没有事业收入。</w:t>
      </w:r>
    </w:p>
    <w:p>
      <w:pPr>
        <w:spacing w:line="288" w:lineRule="auto"/>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．我</w:t>
      </w:r>
      <w:r>
        <w:rPr>
          <w:rFonts w:hint="eastAsia" w:ascii="仿宋_GB2312" w:eastAsia="仿宋_GB2312"/>
          <w:sz w:val="32"/>
          <w:szCs w:val="32"/>
          <w:lang w:eastAsia="zh-CN"/>
        </w:rPr>
        <w:t>工会</w:t>
      </w:r>
      <w:r>
        <w:rPr>
          <w:rFonts w:hint="eastAsia" w:ascii="仿宋_GB2312" w:eastAsia="仿宋_GB2312"/>
          <w:sz w:val="32"/>
          <w:szCs w:val="32"/>
        </w:rPr>
        <w:t>今年和上年度没有经营收入</w:t>
      </w:r>
      <w:r>
        <w:rPr>
          <w:rFonts w:ascii="仿宋_GB2312" w:eastAsia="仿宋_GB2312"/>
          <w:sz w:val="32"/>
          <w:szCs w:val="32"/>
        </w:rPr>
        <w:t xml:space="preserve"> </w:t>
      </w:r>
      <w:r>
        <w:rPr>
          <w:rFonts w:hint="eastAsia" w:ascii="仿宋_GB2312" w:eastAsia="仿宋_GB2312"/>
          <w:sz w:val="32"/>
          <w:szCs w:val="32"/>
        </w:rPr>
        <w:t>。</w:t>
      </w:r>
    </w:p>
    <w:p>
      <w:pPr>
        <w:spacing w:line="288" w:lineRule="auto"/>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．我</w:t>
      </w:r>
      <w:r>
        <w:rPr>
          <w:rFonts w:hint="eastAsia" w:ascii="仿宋_GB2312" w:eastAsia="仿宋_GB2312"/>
          <w:sz w:val="32"/>
          <w:szCs w:val="32"/>
          <w:lang w:eastAsia="zh-CN"/>
        </w:rPr>
        <w:t>工会</w:t>
      </w:r>
      <w:r>
        <w:rPr>
          <w:rFonts w:hint="eastAsia" w:ascii="仿宋_GB2312" w:eastAsia="仿宋_GB2312"/>
          <w:sz w:val="32"/>
          <w:szCs w:val="32"/>
        </w:rPr>
        <w:t>今年和上年度没有其他收入。</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pStyle w:val="5"/>
        <w:shd w:val="clear" w:color="auto" w:fill="FFFFFF"/>
        <w:spacing w:before="0" w:beforeAutospacing="0" w:after="0" w:afterAutospacing="0" w:line="450" w:lineRule="atLeast"/>
        <w:ind w:firstLine="627" w:firstLineChars="196"/>
        <w:rPr>
          <w:rFonts w:hint="eastAsia" w:ascii="仿宋_GB2312" w:eastAsia="仿宋_GB2312"/>
          <w:color w:val="000000"/>
          <w:sz w:val="32"/>
          <w:szCs w:val="32"/>
          <w:lang w:eastAsia="zh-CN"/>
        </w:rPr>
      </w:pPr>
      <w:r>
        <w:rPr>
          <w:rFonts w:hint="eastAsia" w:ascii="仿宋_GB2312" w:eastAsia="仿宋_GB2312"/>
          <w:sz w:val="32"/>
          <w:szCs w:val="32"/>
        </w:rPr>
        <w:t>榕城区总工会</w:t>
      </w:r>
      <w:r>
        <w:rPr>
          <w:rFonts w:ascii="仿宋_GB2312" w:eastAsia="仿宋_GB2312"/>
          <w:sz w:val="32"/>
          <w:szCs w:val="32"/>
        </w:rPr>
        <w:t>2015</w:t>
      </w:r>
      <w:r>
        <w:rPr>
          <w:rFonts w:hint="eastAsia" w:ascii="仿宋_GB2312" w:eastAsia="仿宋_GB2312"/>
          <w:sz w:val="32"/>
          <w:szCs w:val="32"/>
        </w:rPr>
        <w:t>年度总支出</w:t>
      </w:r>
      <w:r>
        <w:rPr>
          <w:rFonts w:ascii="仿宋_GB2312" w:eastAsia="仿宋_GB2312"/>
          <w:color w:val="000000"/>
          <w:sz w:val="32"/>
          <w:szCs w:val="32"/>
        </w:rPr>
        <w:t>103.52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其中本年支出</w:t>
      </w:r>
      <w:r>
        <w:rPr>
          <w:rFonts w:hint="eastAsia" w:ascii="仿宋_GB2312" w:eastAsia="仿宋_GB2312"/>
          <w:color w:val="000000"/>
          <w:sz w:val="32"/>
          <w:szCs w:val="32"/>
          <w:lang w:val="en-US" w:eastAsia="zh-CN"/>
        </w:rPr>
        <w:t>103.52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。具体情况如下：</w:t>
      </w:r>
    </w:p>
    <w:p>
      <w:pPr>
        <w:pStyle w:val="5"/>
        <w:numPr>
          <w:ilvl w:val="0"/>
          <w:numId w:val="1"/>
        </w:numPr>
        <w:shd w:val="clear" w:color="auto" w:fill="FFFFFF"/>
        <w:spacing w:before="0" w:beforeAutospacing="0" w:after="0" w:afterAutospacing="0" w:line="450" w:lineRule="atLeast"/>
        <w:ind w:firstLine="627" w:firstLineChars="196"/>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一般公共服务支出63.61万元，主要用于行政运行、厂务公开及群从团体事务支出，比上年决算数增加9.51万元，增长17.58%，主要原因为人员工资增加。</w:t>
      </w:r>
    </w:p>
    <w:p>
      <w:pPr>
        <w:pStyle w:val="5"/>
        <w:numPr>
          <w:ilvl w:val="0"/>
          <w:numId w:val="0"/>
        </w:numPr>
        <w:shd w:val="clear" w:color="auto" w:fill="FFFFFF"/>
        <w:spacing w:before="0" w:beforeAutospacing="0" w:after="0" w:afterAutospacing="0" w:line="450" w:lineRule="atLeast"/>
        <w:ind w:firstLine="640" w:firstLineChars="200"/>
        <w:rPr>
          <w:rFonts w:ascii="仿宋_GB2312" w:eastAsia="仿宋_GB2312"/>
          <w:color w:val="000000"/>
          <w:sz w:val="21"/>
          <w:szCs w:val="21"/>
        </w:rPr>
      </w:pPr>
      <w:r>
        <w:rPr>
          <w:rFonts w:hint="eastAsia" w:ascii="仿宋_GB2312" w:eastAsia="仿宋_GB2312"/>
          <w:color w:val="000000"/>
          <w:sz w:val="32"/>
          <w:szCs w:val="32"/>
          <w:lang w:val="en-US" w:eastAsia="zh-CN"/>
        </w:rPr>
        <w:t>2.教育支出23.12万元。</w:t>
      </w:r>
      <w:r>
        <w:rPr>
          <w:rFonts w:hint="eastAsia" w:ascii="仿宋_GB2312" w:eastAsia="仿宋_GB2312"/>
          <w:color w:val="000000"/>
          <w:sz w:val="32"/>
          <w:szCs w:val="32"/>
        </w:rPr>
        <w:t>主要</w:t>
      </w:r>
      <w:r>
        <w:rPr>
          <w:rFonts w:hint="eastAsia" w:ascii="仿宋_GB2312" w:eastAsia="仿宋_GB2312"/>
          <w:color w:val="000000"/>
          <w:sz w:val="32"/>
          <w:szCs w:val="32"/>
          <w:lang w:eastAsia="zh-CN"/>
        </w:rPr>
        <w:t>支出项目有办公费、电费、邮电费、社会保障缴费等，与上年决算数持平。</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二、榕城区总工会</w:t>
      </w:r>
      <w:r>
        <w:rPr>
          <w:rFonts w:ascii="仿宋_GB2312" w:eastAsia="仿宋_GB2312"/>
          <w:b/>
          <w:sz w:val="32"/>
          <w:szCs w:val="32"/>
        </w:rPr>
        <w:t>2015</w:t>
      </w:r>
      <w:r>
        <w:rPr>
          <w:rFonts w:hint="eastAsia" w:ascii="仿宋_GB2312" w:eastAsia="仿宋_GB2312"/>
          <w:b/>
          <w:sz w:val="32"/>
          <w:szCs w:val="32"/>
        </w:rPr>
        <w:t>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（一）榕城区总工会</w:t>
      </w:r>
      <w:r>
        <w:rPr>
          <w:rFonts w:ascii="仿宋_GB2312" w:eastAsia="仿宋_GB2312"/>
          <w:b/>
          <w:sz w:val="32"/>
          <w:szCs w:val="32"/>
        </w:rPr>
        <w:t>2015</w:t>
      </w:r>
      <w:r>
        <w:rPr>
          <w:rFonts w:hint="eastAsia" w:ascii="仿宋_GB2312" w:eastAsia="仿宋_GB2312"/>
          <w:b/>
          <w:sz w:val="32"/>
          <w:szCs w:val="32"/>
        </w:rPr>
        <w:t>年度财政拨款收入说明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榕城区总工会</w:t>
      </w:r>
      <w:r>
        <w:rPr>
          <w:rFonts w:ascii="仿宋_GB2312" w:eastAsia="仿宋_GB2312"/>
          <w:sz w:val="32"/>
          <w:szCs w:val="32"/>
        </w:rPr>
        <w:t>2015</w:t>
      </w:r>
      <w:r>
        <w:rPr>
          <w:rFonts w:hint="eastAsia" w:ascii="仿宋_GB2312" w:eastAsia="仿宋_GB2312"/>
          <w:sz w:val="32"/>
          <w:szCs w:val="32"/>
        </w:rPr>
        <w:t>年度财政拨款收入合计</w:t>
      </w:r>
      <w:r>
        <w:rPr>
          <w:rFonts w:ascii="宋体" w:hAnsi="宋体"/>
          <w:sz w:val="28"/>
          <w:szCs w:val="28"/>
        </w:rPr>
        <w:t>103.52</w:t>
      </w:r>
      <w:r>
        <w:rPr>
          <w:rFonts w:hint="eastAsia" w:ascii="仿宋_GB2312" w:eastAsia="仿宋_GB2312"/>
          <w:sz w:val="32"/>
          <w:szCs w:val="32"/>
        </w:rPr>
        <w:t>万元。其中：一般公共预算财政拨款收入</w:t>
      </w:r>
      <w:r>
        <w:rPr>
          <w:rFonts w:ascii="宋体" w:hAnsi="宋体"/>
          <w:sz w:val="28"/>
          <w:szCs w:val="28"/>
        </w:rPr>
        <w:t>103.52</w:t>
      </w:r>
      <w:r>
        <w:rPr>
          <w:rFonts w:hint="eastAsia" w:ascii="仿宋_GB2312" w:eastAsia="仿宋_GB2312"/>
          <w:sz w:val="32"/>
          <w:szCs w:val="32"/>
        </w:rPr>
        <w:t>万元，与年初预算数持平。</w:t>
      </w:r>
      <w:r>
        <w:rPr>
          <w:rFonts w:hint="eastAsia" w:ascii="仿宋_GB2312" w:eastAsia="仿宋_GB2312"/>
          <w:sz w:val="32"/>
          <w:szCs w:val="32"/>
          <w:lang w:eastAsia="zh-CN"/>
        </w:rPr>
        <w:t>政府性基金</w:t>
      </w:r>
      <w:r>
        <w:rPr>
          <w:rFonts w:hint="eastAsia" w:ascii="仿宋_GB2312" w:eastAsia="仿宋_GB2312"/>
          <w:sz w:val="32"/>
          <w:szCs w:val="32"/>
        </w:rPr>
        <w:t>预算</w:t>
      </w:r>
      <w:r>
        <w:rPr>
          <w:rFonts w:hint="eastAsia" w:ascii="仿宋_GB2312" w:eastAsia="仿宋_GB2312"/>
          <w:sz w:val="32"/>
          <w:szCs w:val="32"/>
          <w:lang w:eastAsia="zh-CN"/>
        </w:rPr>
        <w:t>财下拨款收入</w:t>
      </w:r>
      <w:r>
        <w:rPr>
          <w:rFonts w:hint="eastAsia" w:ascii="仿宋_GB2312" w:eastAsia="仿宋_GB2312"/>
          <w:sz w:val="32"/>
          <w:szCs w:val="32"/>
          <w:lang w:val="en-US" w:eastAsia="zh-CN"/>
        </w:rPr>
        <w:t xml:space="preserve">0万元。 </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（二）榕城区总工会</w:t>
      </w:r>
      <w:r>
        <w:rPr>
          <w:rFonts w:ascii="仿宋_GB2312" w:eastAsia="仿宋_GB2312"/>
          <w:b/>
          <w:sz w:val="32"/>
          <w:szCs w:val="32"/>
        </w:rPr>
        <w:t>2015</w:t>
      </w:r>
      <w:r>
        <w:rPr>
          <w:rFonts w:hint="eastAsia" w:ascii="仿宋_GB2312" w:eastAsia="仿宋_GB2312"/>
          <w:b/>
          <w:sz w:val="32"/>
          <w:szCs w:val="32"/>
        </w:rPr>
        <w:t>年度财政拨款支出说明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榕城区总工会</w:t>
      </w:r>
      <w:r>
        <w:rPr>
          <w:rFonts w:ascii="仿宋_GB2312" w:eastAsia="仿宋_GB2312"/>
          <w:sz w:val="32"/>
          <w:szCs w:val="32"/>
        </w:rPr>
        <w:t>2015</w:t>
      </w:r>
      <w:r>
        <w:rPr>
          <w:rFonts w:hint="eastAsia" w:ascii="仿宋_GB2312" w:eastAsia="仿宋_GB2312"/>
          <w:sz w:val="32"/>
          <w:szCs w:val="32"/>
        </w:rPr>
        <w:t>年度财政拨款支出合计</w:t>
      </w:r>
      <w:r>
        <w:rPr>
          <w:rFonts w:ascii="宋体" w:hAnsi="宋体"/>
          <w:sz w:val="28"/>
          <w:szCs w:val="28"/>
        </w:rPr>
        <w:t>103.52</w:t>
      </w:r>
      <w:r>
        <w:rPr>
          <w:rFonts w:hint="eastAsia" w:ascii="仿宋_GB2312" w:eastAsia="仿宋_GB2312"/>
          <w:sz w:val="32"/>
          <w:szCs w:val="32"/>
        </w:rPr>
        <w:t>万元。其中：一般公共预算财政拨款支出</w:t>
      </w:r>
      <w:r>
        <w:rPr>
          <w:rFonts w:ascii="宋体" w:hAnsi="宋体"/>
          <w:sz w:val="28"/>
          <w:szCs w:val="28"/>
        </w:rPr>
        <w:t>105.52</w:t>
      </w:r>
      <w:r>
        <w:rPr>
          <w:rFonts w:hint="eastAsia" w:ascii="仿宋_GB2312" w:eastAsia="仿宋_GB2312"/>
          <w:sz w:val="32"/>
          <w:szCs w:val="32"/>
        </w:rPr>
        <w:t>万元，与年初预算数持平。</w:t>
      </w:r>
    </w:p>
    <w:p>
      <w:pPr>
        <w:spacing w:line="640" w:lineRule="exact"/>
        <w:ind w:firstLine="643" w:firstLineChars="200"/>
        <w:rPr>
          <w:rFonts w:ascii="仿宋_GB2312" w:eastAsia="仿宋_GB2312"/>
          <w:sz w:val="32"/>
          <w:szCs w:val="32"/>
        </w:rPr>
      </w:pPr>
      <w:r>
        <w:rPr>
          <w:rFonts w:hint="eastAsia" w:ascii="仿宋_GB2312" w:eastAsia="仿宋_GB2312"/>
          <w:b/>
          <w:sz w:val="32"/>
          <w:szCs w:val="32"/>
        </w:rPr>
        <w:t>分功能科目看，</w:t>
      </w:r>
      <w:r>
        <w:rPr>
          <w:rFonts w:hint="eastAsia" w:ascii="仿宋_GB2312" w:eastAsia="仿宋_GB2312"/>
          <w:sz w:val="32"/>
          <w:szCs w:val="32"/>
        </w:rPr>
        <w:t>一般公共服务支出</w:t>
      </w:r>
      <w:r>
        <w:rPr>
          <w:rFonts w:ascii="仿宋_GB2312" w:eastAsia="仿宋_GB2312"/>
          <w:sz w:val="32"/>
          <w:szCs w:val="32"/>
        </w:rPr>
        <w:t>63.61</w:t>
      </w:r>
      <w:r>
        <w:rPr>
          <w:rFonts w:hint="eastAsia" w:ascii="仿宋_GB2312" w:eastAsia="仿宋_GB2312"/>
          <w:sz w:val="32"/>
          <w:szCs w:val="32"/>
        </w:rPr>
        <w:t>万元，主要用于行政运行</w:t>
      </w:r>
      <w:r>
        <w:rPr>
          <w:rFonts w:ascii="仿宋_GB2312" w:eastAsia="仿宋_GB2312"/>
          <w:sz w:val="32"/>
          <w:szCs w:val="32"/>
        </w:rPr>
        <w:t>54.61</w:t>
      </w:r>
      <w:r>
        <w:rPr>
          <w:rFonts w:hint="eastAsia" w:ascii="仿宋_GB2312" w:eastAsia="仿宋_GB2312"/>
          <w:sz w:val="32"/>
          <w:szCs w:val="32"/>
        </w:rPr>
        <w:t>万元，其中厂务公开</w:t>
      </w:r>
      <w:r>
        <w:rPr>
          <w:rFonts w:ascii="仿宋_GB2312" w:eastAsia="仿宋_GB2312"/>
          <w:sz w:val="32"/>
          <w:szCs w:val="32"/>
        </w:rPr>
        <w:t>0.5</w:t>
      </w:r>
      <w:r>
        <w:rPr>
          <w:rFonts w:hint="eastAsia" w:ascii="仿宋_GB2312" w:eastAsia="仿宋_GB2312"/>
          <w:sz w:val="32"/>
          <w:szCs w:val="32"/>
        </w:rPr>
        <w:t>万元，其他群众团体事务支出</w:t>
      </w:r>
      <w:r>
        <w:rPr>
          <w:rFonts w:ascii="仿宋_GB2312" w:eastAsia="仿宋_GB2312"/>
          <w:sz w:val="32"/>
          <w:szCs w:val="32"/>
        </w:rPr>
        <w:t>8.5</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教育支出</w:t>
      </w:r>
      <w:r>
        <w:rPr>
          <w:rFonts w:ascii="仿宋_GB2312" w:eastAsia="仿宋_GB2312"/>
          <w:sz w:val="32"/>
          <w:szCs w:val="32"/>
        </w:rPr>
        <w:t>23.12</w:t>
      </w:r>
      <w:r>
        <w:rPr>
          <w:rFonts w:hint="eastAsia" w:ascii="仿宋_GB2312" w:eastAsia="仿宋_GB2312"/>
          <w:sz w:val="32"/>
          <w:szCs w:val="32"/>
        </w:rPr>
        <w:t>万元</w:t>
      </w:r>
      <w:r>
        <w:rPr>
          <w:rFonts w:ascii="仿宋_GB2312" w:eastAsia="仿宋_GB2312"/>
          <w:sz w:val="32"/>
          <w:szCs w:val="32"/>
        </w:rPr>
        <w:t>;</w:t>
      </w:r>
      <w:r>
        <w:rPr>
          <w:rFonts w:hint="eastAsia" w:ascii="仿宋_GB2312" w:eastAsia="仿宋_GB2312"/>
          <w:sz w:val="32"/>
          <w:szCs w:val="32"/>
        </w:rPr>
        <w:t>社会保障和就业支出</w:t>
      </w:r>
      <w:r>
        <w:rPr>
          <w:rFonts w:ascii="仿宋_GB2312" w:hAnsi="宋体" w:eastAsia="仿宋_GB2312" w:cs="宋体"/>
          <w:kern w:val="0"/>
          <w:sz w:val="32"/>
          <w:szCs w:val="32"/>
        </w:rPr>
        <w:t>15.93</w:t>
      </w:r>
      <w:r>
        <w:rPr>
          <w:rFonts w:hint="eastAsia" w:ascii="仿宋_GB2312" w:eastAsia="仿宋_GB2312"/>
          <w:sz w:val="32"/>
          <w:szCs w:val="32"/>
        </w:rPr>
        <w:t>万元，其中死亡抚恤</w:t>
      </w:r>
      <w:r>
        <w:rPr>
          <w:rFonts w:ascii="仿宋_GB2312" w:hAnsi="宋体" w:eastAsia="仿宋_GB2312" w:cs="宋体"/>
          <w:kern w:val="0"/>
          <w:sz w:val="32"/>
          <w:szCs w:val="32"/>
        </w:rPr>
        <w:t>14.93</w:t>
      </w:r>
      <w:r>
        <w:rPr>
          <w:rFonts w:hint="eastAsia" w:ascii="仿宋_GB2312" w:eastAsia="仿宋_GB2312"/>
          <w:sz w:val="32"/>
          <w:szCs w:val="32"/>
        </w:rPr>
        <w:t>万元，行政单位离退休</w:t>
      </w:r>
      <w:r>
        <w:rPr>
          <w:rFonts w:ascii="仿宋_GB2312" w:eastAsia="仿宋_GB2312"/>
          <w:sz w:val="32"/>
          <w:szCs w:val="32"/>
        </w:rPr>
        <w:t>1</w:t>
      </w:r>
      <w:r>
        <w:rPr>
          <w:rFonts w:hint="eastAsia" w:ascii="仿宋_GB2312" w:eastAsia="仿宋_GB2312"/>
          <w:sz w:val="32"/>
          <w:szCs w:val="32"/>
        </w:rPr>
        <w:t>万元；住房保障支出</w:t>
      </w:r>
      <w:r>
        <w:rPr>
          <w:rFonts w:ascii="仿宋_GB2312" w:eastAsia="仿宋_GB2312"/>
          <w:sz w:val="32"/>
          <w:szCs w:val="32"/>
        </w:rPr>
        <w:t>0.86</w:t>
      </w:r>
      <w:r>
        <w:rPr>
          <w:rFonts w:hint="eastAsia" w:ascii="仿宋_GB2312" w:eastAsia="仿宋_GB2312"/>
          <w:sz w:val="32"/>
          <w:szCs w:val="32"/>
        </w:rPr>
        <w:t>万元。</w:t>
      </w:r>
    </w:p>
    <w:p>
      <w:pPr>
        <w:spacing w:line="640" w:lineRule="exact"/>
        <w:ind w:firstLine="643" w:firstLineChars="200"/>
        <w:rPr>
          <w:rFonts w:ascii="仿宋_GB2312" w:eastAsia="仿宋_GB2312"/>
          <w:b/>
          <w:sz w:val="32"/>
          <w:szCs w:val="32"/>
        </w:rPr>
      </w:pPr>
      <w:r>
        <w:rPr>
          <w:rFonts w:hint="eastAsia" w:ascii="仿宋_GB2312" w:eastAsia="仿宋_GB2312"/>
          <w:b/>
          <w:sz w:val="32"/>
          <w:szCs w:val="32"/>
        </w:rPr>
        <w:t>三、榕城区总工会</w:t>
      </w:r>
      <w:r>
        <w:rPr>
          <w:rFonts w:ascii="仿宋_GB2312" w:eastAsia="仿宋_GB2312"/>
          <w:b/>
          <w:sz w:val="32"/>
          <w:szCs w:val="32"/>
        </w:rPr>
        <w:t>2015</w:t>
      </w:r>
      <w:r>
        <w:rPr>
          <w:rFonts w:hint="eastAsia" w:ascii="仿宋_GB2312" w:eastAsia="仿宋_GB2312"/>
          <w:b/>
          <w:sz w:val="32"/>
          <w:szCs w:val="32"/>
        </w:rPr>
        <w:t>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ascii="仿宋_GB2312" w:hAnsi="宋体" w:eastAsia="仿宋_GB2312"/>
          <w:sz w:val="32"/>
          <w:szCs w:val="32"/>
        </w:rPr>
      </w:pPr>
      <w:r>
        <w:rPr>
          <w:rFonts w:hint="eastAsia" w:ascii="仿宋_GB2312" w:eastAsia="仿宋_GB2312"/>
          <w:sz w:val="32"/>
          <w:szCs w:val="32"/>
        </w:rPr>
        <w:t>榕城区总工会</w:t>
      </w:r>
      <w:r>
        <w:rPr>
          <w:rFonts w:ascii="仿宋_GB2312" w:eastAsia="仿宋_GB2312"/>
          <w:sz w:val="32"/>
          <w:szCs w:val="32"/>
        </w:rPr>
        <w:t>2015</w:t>
      </w:r>
      <w:r>
        <w:rPr>
          <w:rFonts w:hint="eastAsia" w:ascii="仿宋_GB2312" w:eastAsia="仿宋_GB2312"/>
          <w:sz w:val="32"/>
          <w:szCs w:val="32"/>
        </w:rPr>
        <w:t>年度“</w:t>
      </w:r>
      <w:r>
        <w:rPr>
          <w:rFonts w:hint="eastAsia" w:ascii="仿宋_GB2312" w:hAnsi="宋体" w:eastAsia="仿宋_GB2312"/>
          <w:sz w:val="32"/>
          <w:szCs w:val="32"/>
        </w:rPr>
        <w:t>三公”经费财政拨款支出决算为</w:t>
      </w:r>
      <w:r>
        <w:rPr>
          <w:rFonts w:ascii="仿宋_GB2312" w:hAnsi="宋体" w:eastAsia="仿宋_GB2312"/>
          <w:sz w:val="32"/>
          <w:szCs w:val="32"/>
        </w:rPr>
        <w:t>1.8</w:t>
      </w:r>
      <w:r>
        <w:rPr>
          <w:rFonts w:hint="eastAsia" w:ascii="仿宋_GB2312" w:hAnsi="宋体" w:eastAsia="仿宋_GB2312"/>
          <w:sz w:val="32"/>
          <w:szCs w:val="32"/>
        </w:rPr>
        <w:t>万元，完成预算</w:t>
      </w:r>
      <w:r>
        <w:rPr>
          <w:rFonts w:ascii="仿宋_GB2312" w:hAnsi="宋体" w:eastAsia="仿宋_GB2312"/>
          <w:sz w:val="32"/>
          <w:szCs w:val="32"/>
        </w:rPr>
        <w:t>4</w:t>
      </w:r>
      <w:r>
        <w:rPr>
          <w:rFonts w:hint="eastAsia" w:ascii="仿宋_GB2312" w:hAnsi="宋体" w:eastAsia="仿宋_GB2312"/>
          <w:sz w:val="32"/>
          <w:szCs w:val="32"/>
        </w:rPr>
        <w:t>万元的</w:t>
      </w:r>
      <w:r>
        <w:rPr>
          <w:rFonts w:ascii="仿宋_GB2312" w:hAnsi="宋体" w:eastAsia="仿宋_GB2312"/>
          <w:sz w:val="32"/>
          <w:szCs w:val="32"/>
        </w:rPr>
        <w:t>45%</w:t>
      </w:r>
      <w:r>
        <w:rPr>
          <w:rFonts w:hint="eastAsia" w:ascii="仿宋_GB2312" w:hAnsi="宋体" w:eastAsia="仿宋_GB2312"/>
          <w:sz w:val="32"/>
          <w:szCs w:val="32"/>
        </w:rPr>
        <w:t>。其中：</w:t>
      </w:r>
      <w:r>
        <w:rPr>
          <w:rFonts w:hint="eastAsia" w:ascii="仿宋_GB2312" w:eastAsia="仿宋_GB2312"/>
          <w:sz w:val="32"/>
          <w:szCs w:val="32"/>
        </w:rPr>
        <w:t>因公出国（境）费支出决算为</w:t>
      </w:r>
      <w:r>
        <w:rPr>
          <w:rFonts w:ascii="仿宋_GB2312" w:eastAsia="仿宋_GB2312"/>
          <w:sz w:val="32"/>
          <w:szCs w:val="32"/>
        </w:rPr>
        <w:t>0</w:t>
      </w:r>
      <w:r>
        <w:rPr>
          <w:rFonts w:hint="eastAsia" w:ascii="仿宋_GB2312" w:eastAsia="仿宋_GB2312"/>
          <w:sz w:val="32"/>
          <w:szCs w:val="32"/>
        </w:rPr>
        <w:t>万元，完成预算</w:t>
      </w:r>
      <w:r>
        <w:rPr>
          <w:rFonts w:ascii="仿宋_GB2312" w:eastAsia="仿宋_GB2312"/>
          <w:sz w:val="32"/>
          <w:szCs w:val="32"/>
        </w:rPr>
        <w:t>0</w:t>
      </w:r>
      <w:r>
        <w:rPr>
          <w:rFonts w:hint="eastAsia" w:ascii="仿宋_GB2312" w:eastAsia="仿宋_GB2312"/>
          <w:sz w:val="32"/>
          <w:szCs w:val="32"/>
        </w:rPr>
        <w:t>万元的</w:t>
      </w:r>
      <w:r>
        <w:rPr>
          <w:rFonts w:ascii="仿宋_GB2312" w:eastAsia="仿宋_GB2312"/>
          <w:sz w:val="32"/>
          <w:szCs w:val="32"/>
        </w:rPr>
        <w:t>0%</w:t>
      </w:r>
      <w:r>
        <w:rPr>
          <w:rFonts w:hint="eastAsia" w:ascii="仿宋_GB2312" w:eastAsia="仿宋_GB2312"/>
          <w:sz w:val="32"/>
          <w:szCs w:val="32"/>
        </w:rPr>
        <w:t>；公务用车购置及运行维护费支出决算为</w:t>
      </w:r>
      <w:r>
        <w:rPr>
          <w:rFonts w:ascii="仿宋_GB2312" w:eastAsia="仿宋_GB2312"/>
          <w:sz w:val="32"/>
          <w:szCs w:val="32"/>
        </w:rPr>
        <w:t>1.8</w:t>
      </w:r>
      <w:r>
        <w:rPr>
          <w:rFonts w:hint="eastAsia" w:ascii="仿宋_GB2312" w:eastAsia="仿宋_GB2312"/>
          <w:sz w:val="32"/>
          <w:szCs w:val="32"/>
        </w:rPr>
        <w:t>万元，完成预算</w:t>
      </w:r>
      <w:r>
        <w:rPr>
          <w:rFonts w:ascii="仿宋_GB2312" w:eastAsia="仿宋_GB2312"/>
          <w:sz w:val="32"/>
          <w:szCs w:val="32"/>
        </w:rPr>
        <w:t>4</w:t>
      </w:r>
      <w:r>
        <w:rPr>
          <w:rFonts w:hint="eastAsia" w:ascii="仿宋_GB2312" w:eastAsia="仿宋_GB2312"/>
          <w:sz w:val="32"/>
          <w:szCs w:val="32"/>
        </w:rPr>
        <w:t>万元的</w:t>
      </w:r>
      <w:r>
        <w:rPr>
          <w:rFonts w:ascii="仿宋_GB2312" w:eastAsia="仿宋_GB2312"/>
          <w:sz w:val="32"/>
          <w:szCs w:val="32"/>
        </w:rPr>
        <w:t>45%</w:t>
      </w:r>
      <w:r>
        <w:rPr>
          <w:rFonts w:hint="eastAsia" w:ascii="仿宋_GB2312" w:eastAsia="仿宋_GB2312"/>
          <w:sz w:val="32"/>
          <w:szCs w:val="32"/>
        </w:rPr>
        <w:t>；公务接待费支出决算为</w:t>
      </w:r>
      <w:r>
        <w:rPr>
          <w:rFonts w:ascii="仿宋_GB2312" w:eastAsia="仿宋_GB2312"/>
          <w:sz w:val="32"/>
          <w:szCs w:val="32"/>
        </w:rPr>
        <w:t>0</w:t>
      </w:r>
      <w:r>
        <w:rPr>
          <w:rFonts w:hint="eastAsia" w:ascii="仿宋_GB2312" w:eastAsia="仿宋_GB2312"/>
          <w:sz w:val="32"/>
          <w:szCs w:val="32"/>
        </w:rPr>
        <w:t>万元，完成预算</w:t>
      </w:r>
      <w:r>
        <w:rPr>
          <w:rFonts w:ascii="仿宋_GB2312" w:eastAsia="仿宋_GB2312"/>
          <w:sz w:val="32"/>
          <w:szCs w:val="32"/>
        </w:rPr>
        <w:t>0</w:t>
      </w:r>
      <w:r>
        <w:rPr>
          <w:rFonts w:hint="eastAsia" w:ascii="仿宋_GB2312" w:eastAsia="仿宋_GB2312"/>
          <w:sz w:val="32"/>
          <w:szCs w:val="32"/>
        </w:rPr>
        <w:t>万元的</w:t>
      </w:r>
      <w:r>
        <w:rPr>
          <w:rFonts w:ascii="仿宋_GB2312" w:eastAsia="仿宋_GB2312"/>
          <w:sz w:val="32"/>
          <w:szCs w:val="32"/>
        </w:rPr>
        <w:t>0%</w:t>
      </w:r>
      <w:r>
        <w:rPr>
          <w:rFonts w:hint="eastAsia" w:ascii="仿宋_GB2312" w:eastAsia="仿宋_GB2312"/>
          <w:sz w:val="32"/>
          <w:szCs w:val="32"/>
        </w:rPr>
        <w:t>。榕城区总工会</w:t>
      </w:r>
      <w:r>
        <w:rPr>
          <w:rFonts w:ascii="仿宋_GB2312" w:eastAsia="仿宋_GB2312"/>
          <w:sz w:val="32"/>
          <w:szCs w:val="32"/>
        </w:rPr>
        <w:t>2015</w:t>
      </w:r>
      <w:r>
        <w:rPr>
          <w:rFonts w:hint="eastAsia" w:ascii="仿宋_GB2312" w:eastAsia="仿宋_GB2312"/>
          <w:sz w:val="32"/>
          <w:szCs w:val="32"/>
        </w:rPr>
        <w:t>年度“三公”经费支出决算小于预算数的主要原因是公车改革。</w:t>
      </w:r>
    </w:p>
    <w:p>
      <w:pPr>
        <w:ind w:firstLine="640" w:firstLineChars="200"/>
        <w:rPr>
          <w:rFonts w:ascii="仿宋_GB2312" w:hAnsi="宋体" w:eastAsia="仿宋_GB2312"/>
          <w:sz w:val="32"/>
          <w:szCs w:val="32"/>
        </w:rPr>
      </w:pPr>
      <w:r>
        <w:rPr>
          <w:rFonts w:hint="eastAsia" w:ascii="仿宋_GB2312" w:hAnsi="宋体" w:eastAsia="仿宋_GB2312"/>
          <w:sz w:val="32"/>
          <w:szCs w:val="32"/>
        </w:rPr>
        <w:t>与上年相比，</w:t>
      </w:r>
      <w:r>
        <w:rPr>
          <w:rFonts w:hint="eastAsia" w:ascii="仿宋_GB2312" w:eastAsia="仿宋_GB2312"/>
          <w:sz w:val="32"/>
          <w:szCs w:val="32"/>
        </w:rPr>
        <w:t>榕城区总工会</w:t>
      </w:r>
      <w:r>
        <w:rPr>
          <w:rFonts w:ascii="仿宋_GB2312" w:eastAsia="仿宋_GB2312"/>
          <w:sz w:val="32"/>
          <w:szCs w:val="32"/>
        </w:rPr>
        <w:t>2015</w:t>
      </w:r>
      <w:r>
        <w:rPr>
          <w:rFonts w:hint="eastAsia" w:ascii="仿宋_GB2312" w:hAnsi="宋体" w:eastAsia="仿宋_GB2312"/>
          <w:sz w:val="32"/>
          <w:szCs w:val="32"/>
        </w:rPr>
        <w:t>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三公”经费财政拨款支出决算数比上年增加</w:t>
      </w:r>
      <w:r>
        <w:rPr>
          <w:rFonts w:ascii="仿宋_GB2312" w:hAnsi="宋体" w:eastAsia="仿宋_GB2312"/>
          <w:sz w:val="32"/>
          <w:szCs w:val="32"/>
        </w:rPr>
        <w:t>0.06</w:t>
      </w:r>
      <w:r>
        <w:rPr>
          <w:rFonts w:hint="eastAsia" w:ascii="仿宋_GB2312" w:hAnsi="宋体" w:eastAsia="仿宋_GB2312"/>
          <w:sz w:val="32"/>
          <w:szCs w:val="32"/>
        </w:rPr>
        <w:t>万元，上升</w:t>
      </w:r>
      <w:r>
        <w:rPr>
          <w:rFonts w:ascii="仿宋_GB2312" w:hAnsi="宋体" w:eastAsia="仿宋_GB2312"/>
          <w:sz w:val="32"/>
          <w:szCs w:val="32"/>
        </w:rPr>
        <w:t>3.45 %</w:t>
      </w:r>
      <w:r>
        <w:rPr>
          <w:rFonts w:hint="eastAsia" w:ascii="仿宋_GB2312" w:hAnsi="宋体" w:eastAsia="仿宋_GB2312"/>
          <w:sz w:val="32"/>
          <w:szCs w:val="32"/>
        </w:rPr>
        <w:t>。其中：</w:t>
      </w:r>
      <w:r>
        <w:rPr>
          <w:rFonts w:hint="eastAsia" w:ascii="仿宋_GB2312" w:eastAsia="仿宋_GB2312"/>
          <w:sz w:val="32"/>
          <w:szCs w:val="32"/>
        </w:rPr>
        <w:t>因公出国（境）费支出决算</w:t>
      </w:r>
      <w:r>
        <w:rPr>
          <w:rFonts w:hint="eastAsia" w:ascii="仿宋_GB2312" w:hAnsi="宋体" w:eastAsia="仿宋_GB2312"/>
          <w:sz w:val="32"/>
          <w:szCs w:val="32"/>
        </w:rPr>
        <w:t>增加</w:t>
      </w:r>
      <w:r>
        <w:rPr>
          <w:rFonts w:ascii="仿宋_GB2312" w:eastAsia="仿宋_GB2312"/>
          <w:sz w:val="32"/>
          <w:szCs w:val="32"/>
        </w:rPr>
        <w:t xml:space="preserve">0 </w:t>
      </w:r>
      <w:r>
        <w:rPr>
          <w:rFonts w:hint="eastAsia" w:ascii="仿宋_GB2312" w:eastAsia="仿宋_GB2312"/>
          <w:sz w:val="32"/>
          <w:szCs w:val="32"/>
        </w:rPr>
        <w:t>万元，</w:t>
      </w:r>
      <w:r>
        <w:rPr>
          <w:rFonts w:hint="eastAsia" w:ascii="仿宋_GB2312" w:hAnsi="宋体" w:eastAsia="仿宋_GB2312"/>
          <w:sz w:val="32"/>
          <w:szCs w:val="32"/>
        </w:rPr>
        <w:t>上升</w:t>
      </w:r>
      <w:r>
        <w:rPr>
          <w:rFonts w:ascii="仿宋_GB2312" w:hAnsi="宋体" w:eastAsia="仿宋_GB2312"/>
          <w:sz w:val="32"/>
          <w:szCs w:val="32"/>
        </w:rPr>
        <w:t>0%</w:t>
      </w:r>
      <w:r>
        <w:rPr>
          <w:rFonts w:hint="eastAsia" w:ascii="仿宋_GB2312" w:hAnsi="宋体" w:eastAsia="仿宋_GB2312"/>
          <w:sz w:val="32"/>
          <w:szCs w:val="32"/>
        </w:rPr>
        <w:t>；</w:t>
      </w:r>
      <w:r>
        <w:rPr>
          <w:rFonts w:hint="eastAsia" w:ascii="仿宋_GB2312" w:eastAsia="仿宋_GB2312"/>
          <w:sz w:val="32"/>
          <w:szCs w:val="32"/>
        </w:rPr>
        <w:t>公务用车购置及运行维护费支出决算</w:t>
      </w:r>
      <w:r>
        <w:rPr>
          <w:rFonts w:hint="eastAsia" w:ascii="仿宋_GB2312" w:hAnsi="宋体" w:eastAsia="仿宋_GB2312"/>
          <w:sz w:val="32"/>
          <w:szCs w:val="32"/>
        </w:rPr>
        <w:t>增加</w:t>
      </w:r>
      <w:r>
        <w:rPr>
          <w:rFonts w:ascii="仿宋_GB2312" w:eastAsia="仿宋_GB2312"/>
          <w:sz w:val="32"/>
          <w:szCs w:val="32"/>
        </w:rPr>
        <w:t>0.06</w:t>
      </w:r>
      <w:r>
        <w:rPr>
          <w:rFonts w:hint="eastAsia" w:ascii="仿宋_GB2312" w:eastAsia="仿宋_GB2312"/>
          <w:sz w:val="32"/>
          <w:szCs w:val="32"/>
        </w:rPr>
        <w:t>万元，</w:t>
      </w:r>
      <w:r>
        <w:rPr>
          <w:rFonts w:hint="eastAsia" w:ascii="仿宋_GB2312" w:hAnsi="宋体" w:eastAsia="仿宋_GB2312"/>
          <w:sz w:val="32"/>
          <w:szCs w:val="32"/>
        </w:rPr>
        <w:t>上升</w:t>
      </w:r>
      <w:r>
        <w:rPr>
          <w:rFonts w:ascii="仿宋_GB2312" w:hAnsi="宋体" w:eastAsia="仿宋_GB2312"/>
          <w:sz w:val="32"/>
          <w:szCs w:val="32"/>
        </w:rPr>
        <w:t>3.45%</w:t>
      </w:r>
      <w:r>
        <w:rPr>
          <w:rFonts w:hint="eastAsia" w:ascii="仿宋_GB2312" w:hAnsi="宋体" w:eastAsia="仿宋_GB2312"/>
          <w:sz w:val="32"/>
          <w:szCs w:val="32"/>
        </w:rPr>
        <w:t>；</w:t>
      </w:r>
      <w:r>
        <w:rPr>
          <w:rFonts w:hint="eastAsia" w:ascii="仿宋_GB2312" w:eastAsia="仿宋_GB2312"/>
          <w:sz w:val="32"/>
          <w:szCs w:val="32"/>
        </w:rPr>
        <w:t>公务接待费支出决算</w:t>
      </w:r>
      <w:r>
        <w:rPr>
          <w:rFonts w:hint="eastAsia" w:ascii="仿宋_GB2312" w:hAnsi="宋体" w:eastAsia="仿宋_GB2312"/>
          <w:sz w:val="32"/>
          <w:szCs w:val="32"/>
        </w:rPr>
        <w:t>增加</w:t>
      </w:r>
      <w:r>
        <w:rPr>
          <w:rFonts w:ascii="仿宋_GB2312" w:eastAsia="仿宋_GB2312"/>
          <w:sz w:val="32"/>
          <w:szCs w:val="32"/>
        </w:rPr>
        <w:t xml:space="preserve">0 </w:t>
      </w:r>
      <w:r>
        <w:rPr>
          <w:rFonts w:hint="eastAsia" w:ascii="仿宋_GB2312" w:eastAsia="仿宋_GB2312"/>
          <w:sz w:val="32"/>
          <w:szCs w:val="32"/>
        </w:rPr>
        <w:t>万元，</w:t>
      </w:r>
      <w:r>
        <w:rPr>
          <w:rFonts w:hint="eastAsia" w:ascii="仿宋_GB2312" w:hAnsi="宋体" w:eastAsia="仿宋_GB2312"/>
          <w:sz w:val="32"/>
          <w:szCs w:val="32"/>
        </w:rPr>
        <w:t>上升</w:t>
      </w:r>
      <w:r>
        <w:rPr>
          <w:rFonts w:ascii="仿宋_GB2312" w:hAnsi="宋体" w:eastAsia="仿宋_GB2312"/>
          <w:sz w:val="32"/>
          <w:szCs w:val="32"/>
        </w:rPr>
        <w:t>0%</w:t>
      </w:r>
      <w:r>
        <w:rPr>
          <w:rFonts w:hint="eastAsia" w:ascii="仿宋_GB2312" w:hAnsi="宋体" w:eastAsia="仿宋_GB2312"/>
          <w:sz w:val="32"/>
          <w:szCs w:val="32"/>
        </w:rPr>
        <w:t>。</w:t>
      </w:r>
      <w:r>
        <w:rPr>
          <w:rFonts w:hint="eastAsia" w:ascii="仿宋_GB2312" w:eastAsia="仿宋_GB2312"/>
          <w:sz w:val="32"/>
          <w:szCs w:val="32"/>
        </w:rPr>
        <w:t>公务用车购置及运行维护费支出增加的主要原因是业务增加。</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eastAsia="仿宋_GB2312"/>
          <w:sz w:val="32"/>
          <w:szCs w:val="32"/>
        </w:rPr>
        <w:t>榕城区总工会</w:t>
      </w:r>
      <w:r>
        <w:rPr>
          <w:rFonts w:ascii="仿宋_GB2312" w:eastAsia="仿宋_GB2312"/>
          <w:sz w:val="32"/>
          <w:szCs w:val="32"/>
        </w:rPr>
        <w:t>2015</w:t>
      </w:r>
      <w:r>
        <w:rPr>
          <w:rFonts w:hint="eastAsia" w:ascii="仿宋_GB2312" w:hAnsi="宋体" w:eastAsia="仿宋_GB2312"/>
          <w:sz w:val="32"/>
          <w:szCs w:val="32"/>
        </w:rPr>
        <w:t>年</w:t>
      </w:r>
      <w:r>
        <w:rPr>
          <w:rFonts w:hint="eastAsia" w:ascii="仿宋_GB2312" w:eastAsia="仿宋_GB2312"/>
          <w:sz w:val="32"/>
          <w:szCs w:val="32"/>
        </w:rPr>
        <w:t>“三公”经费财政拨款支出决算中，因公出国（境）费</w:t>
      </w:r>
      <w:r>
        <w:rPr>
          <w:rFonts w:ascii="仿宋_GB2312" w:eastAsia="仿宋_GB2312"/>
          <w:sz w:val="32"/>
          <w:szCs w:val="32"/>
        </w:rPr>
        <w:t>0</w:t>
      </w:r>
      <w:r>
        <w:rPr>
          <w:rFonts w:hint="eastAsia" w:ascii="仿宋_GB2312" w:eastAsia="仿宋_GB2312"/>
          <w:sz w:val="32"/>
          <w:szCs w:val="32"/>
        </w:rPr>
        <w:t>万元，占</w:t>
      </w:r>
      <w:r>
        <w:rPr>
          <w:rFonts w:ascii="仿宋_GB2312" w:eastAsia="仿宋_GB2312"/>
          <w:sz w:val="32"/>
          <w:szCs w:val="32"/>
        </w:rPr>
        <w:t>0%</w:t>
      </w:r>
      <w:r>
        <w:rPr>
          <w:rFonts w:hint="eastAsia" w:ascii="仿宋_GB2312" w:eastAsia="仿宋_GB2312"/>
          <w:sz w:val="32"/>
          <w:szCs w:val="32"/>
        </w:rPr>
        <w:t>；公务用车购置及运行维护费支出</w:t>
      </w:r>
      <w:r>
        <w:rPr>
          <w:rFonts w:ascii="仿宋_GB2312" w:eastAsia="仿宋_GB2312"/>
          <w:sz w:val="32"/>
          <w:szCs w:val="32"/>
        </w:rPr>
        <w:t>1.8</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rPr>
        <w:t>；公务接待费支出</w:t>
      </w:r>
      <w:r>
        <w:rPr>
          <w:rFonts w:ascii="仿宋_GB2312" w:eastAsia="仿宋_GB2312"/>
          <w:sz w:val="32"/>
          <w:szCs w:val="32"/>
        </w:rPr>
        <w:t>0</w:t>
      </w:r>
      <w:r>
        <w:rPr>
          <w:rFonts w:hint="eastAsia" w:ascii="仿宋_GB2312" w:eastAsia="仿宋_GB2312"/>
          <w:sz w:val="32"/>
          <w:szCs w:val="32"/>
        </w:rPr>
        <w:t>万元，占</w:t>
      </w:r>
      <w:r>
        <w:rPr>
          <w:rFonts w:ascii="仿宋_GB2312" w:eastAsia="仿宋_GB2312"/>
          <w:sz w:val="32"/>
          <w:szCs w:val="32"/>
        </w:rPr>
        <w:t>0%</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因公出国（境）费支出</w:t>
      </w:r>
      <w:r>
        <w:rPr>
          <w:rFonts w:ascii="仿宋_GB2312" w:eastAsia="仿宋_GB2312"/>
          <w:sz w:val="32"/>
          <w:szCs w:val="32"/>
        </w:rPr>
        <w:t>0</w:t>
      </w:r>
      <w:r>
        <w:rPr>
          <w:rFonts w:hint="eastAsia" w:ascii="仿宋_GB2312" w:eastAsia="仿宋_GB2312"/>
          <w:sz w:val="32"/>
          <w:szCs w:val="32"/>
        </w:rPr>
        <w:t>万元。</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公务用车购置及运行维护费支</w:t>
      </w:r>
      <w:r>
        <w:rPr>
          <w:rFonts w:ascii="仿宋_GB2312" w:eastAsia="仿宋_GB2312"/>
          <w:sz w:val="32"/>
          <w:szCs w:val="32"/>
        </w:rPr>
        <w:t>1.8</w:t>
      </w:r>
      <w:r>
        <w:rPr>
          <w:rFonts w:hint="eastAsia" w:ascii="仿宋_GB2312" w:eastAsia="仿宋_GB2312"/>
          <w:sz w:val="32"/>
          <w:szCs w:val="32"/>
        </w:rPr>
        <w:t>万元，其中：公务用车购置支出为</w:t>
      </w:r>
      <w:r>
        <w:rPr>
          <w:rFonts w:ascii="仿宋_GB2312" w:eastAsia="仿宋_GB2312"/>
          <w:sz w:val="32"/>
          <w:szCs w:val="32"/>
        </w:rPr>
        <w:t>0</w:t>
      </w:r>
      <w:r>
        <w:rPr>
          <w:rFonts w:hint="eastAsia" w:ascii="仿宋_GB2312" w:eastAsia="仿宋_GB2312"/>
          <w:sz w:val="32"/>
          <w:szCs w:val="32"/>
        </w:rPr>
        <w:t>万元；公务用车运行及维护支出</w:t>
      </w:r>
      <w:r>
        <w:rPr>
          <w:rFonts w:ascii="仿宋_GB2312" w:eastAsia="仿宋_GB2312"/>
          <w:sz w:val="32"/>
          <w:szCs w:val="32"/>
        </w:rPr>
        <w:t>1.8</w:t>
      </w:r>
      <w:r>
        <w:rPr>
          <w:rFonts w:hint="eastAsia" w:ascii="仿宋_GB2312" w:eastAsia="仿宋_GB2312"/>
          <w:sz w:val="32"/>
          <w:szCs w:val="32"/>
        </w:rPr>
        <w:t>万元。</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公务接待费支出</w:t>
      </w:r>
      <w:r>
        <w:rPr>
          <w:rFonts w:ascii="仿宋_GB2312" w:eastAsia="仿宋_GB2312"/>
          <w:sz w:val="32"/>
          <w:szCs w:val="32"/>
        </w:rPr>
        <w:t>0</w:t>
      </w:r>
      <w:r>
        <w:rPr>
          <w:rFonts w:hint="eastAsia" w:ascii="仿宋_GB2312" w:eastAsia="仿宋_GB2312"/>
          <w:sz w:val="32"/>
          <w:szCs w:val="32"/>
        </w:rPr>
        <w:t>万元。</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eastAsia="仿宋_GB2312"/>
          <w:sz w:val="32"/>
          <w:szCs w:val="32"/>
        </w:rPr>
        <w:t>榕城区总工会</w:t>
      </w:r>
      <w:r>
        <w:rPr>
          <w:rFonts w:ascii="仿宋_GB2312" w:eastAsia="仿宋_GB2312"/>
          <w:sz w:val="32"/>
          <w:szCs w:val="32"/>
        </w:rPr>
        <w:t>2015</w:t>
      </w:r>
      <w:r>
        <w:rPr>
          <w:rFonts w:hint="eastAsia" w:ascii="仿宋_GB2312" w:hAnsi="宋体" w:eastAsia="仿宋_GB2312"/>
          <w:sz w:val="32"/>
          <w:szCs w:val="32"/>
        </w:rPr>
        <w:t>年本部门机关运行经费支出</w:t>
      </w:r>
      <w:r>
        <w:rPr>
          <w:rFonts w:ascii="仿宋_GB2312" w:hAnsi="宋体" w:eastAsia="仿宋_GB2312"/>
          <w:sz w:val="32"/>
          <w:szCs w:val="32"/>
        </w:rPr>
        <w:t>21.47</w:t>
      </w:r>
      <w:r>
        <w:rPr>
          <w:rFonts w:hint="eastAsia" w:ascii="仿宋_GB2312" w:hAnsi="宋体" w:eastAsia="仿宋_GB2312"/>
          <w:sz w:val="32"/>
          <w:szCs w:val="32"/>
        </w:rPr>
        <w:t>万元，比上年增加</w:t>
      </w:r>
      <w:r>
        <w:rPr>
          <w:rFonts w:ascii="仿宋_GB2312" w:hAnsi="宋体" w:eastAsia="仿宋_GB2312"/>
          <w:sz w:val="32"/>
          <w:szCs w:val="32"/>
        </w:rPr>
        <w:t>2.94</w:t>
      </w:r>
      <w:r>
        <w:rPr>
          <w:rFonts w:hint="eastAsia" w:ascii="仿宋_GB2312" w:hAnsi="宋体" w:eastAsia="仿宋_GB2312"/>
          <w:sz w:val="32"/>
          <w:szCs w:val="32"/>
        </w:rPr>
        <w:t>万元，主要原因是其他商品和服务支出增加。</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榕城区总工会</w:t>
      </w:r>
      <w:r>
        <w:rPr>
          <w:rFonts w:ascii="仿宋_GB2312" w:eastAsia="仿宋_GB2312"/>
          <w:sz w:val="32"/>
          <w:szCs w:val="32"/>
        </w:rPr>
        <w:t>2015</w:t>
      </w:r>
      <w:r>
        <w:rPr>
          <w:rFonts w:hint="eastAsia" w:ascii="仿宋_GB2312" w:eastAsia="仿宋_GB2312"/>
          <w:sz w:val="32"/>
          <w:szCs w:val="32"/>
        </w:rPr>
        <w:t>年本部门没有政府采购支出。</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w:t>
      </w:r>
      <w:r>
        <w:rPr>
          <w:rFonts w:ascii="仿宋_GB2312" w:eastAsia="仿宋_GB2312"/>
          <w:sz w:val="32"/>
          <w:szCs w:val="32"/>
        </w:rPr>
        <w:t>2015</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日，本部门资产总值</w:t>
      </w:r>
      <w:r>
        <w:rPr>
          <w:rFonts w:ascii="仿宋_GB2312" w:eastAsia="仿宋_GB2312"/>
          <w:sz w:val="32"/>
          <w:szCs w:val="32"/>
        </w:rPr>
        <w:t>9.33</w:t>
      </w:r>
      <w:r>
        <w:rPr>
          <w:rFonts w:hint="eastAsia" w:ascii="仿宋_GB2312" w:eastAsia="仿宋_GB2312"/>
          <w:sz w:val="32"/>
          <w:szCs w:val="32"/>
        </w:rPr>
        <w:t>万元，共有车辆</w:t>
      </w:r>
      <w:r>
        <w:rPr>
          <w:rFonts w:ascii="仿宋_GB2312" w:eastAsia="仿宋_GB2312"/>
          <w:sz w:val="32"/>
          <w:szCs w:val="32"/>
        </w:rPr>
        <w:t>1</w:t>
      </w:r>
      <w:r>
        <w:rPr>
          <w:rFonts w:hint="eastAsia" w:ascii="仿宋_GB2312" w:eastAsia="仿宋_GB2312"/>
          <w:sz w:val="32"/>
          <w:szCs w:val="32"/>
        </w:rPr>
        <w:t>辆，为一般公务用车，</w:t>
      </w:r>
      <w:r>
        <w:rPr>
          <w:rFonts w:hint="eastAsia" w:ascii="仿宋_GB2312" w:hAnsi="宋体" w:eastAsia="仿宋_GB2312"/>
          <w:color w:val="000000"/>
          <w:sz w:val="32"/>
          <w:szCs w:val="32"/>
        </w:rPr>
        <w:t>已于</w:t>
      </w:r>
      <w:r>
        <w:rPr>
          <w:rFonts w:ascii="仿宋_GB2312" w:hAnsi="宋体" w:eastAsia="仿宋_GB2312"/>
          <w:color w:val="000000"/>
          <w:sz w:val="32"/>
          <w:szCs w:val="32"/>
        </w:rPr>
        <w:t>2015</w:t>
      </w:r>
      <w:r>
        <w:rPr>
          <w:rFonts w:hint="eastAsia" w:ascii="仿宋_GB2312" w:hAnsi="宋体" w:eastAsia="仿宋_GB2312"/>
          <w:color w:val="000000"/>
          <w:sz w:val="32"/>
          <w:szCs w:val="32"/>
        </w:rPr>
        <w:t>年</w:t>
      </w:r>
      <w:r>
        <w:rPr>
          <w:rFonts w:ascii="仿宋_GB2312" w:hAnsi="宋体" w:eastAsia="仿宋_GB2312"/>
          <w:color w:val="000000"/>
          <w:sz w:val="32"/>
          <w:szCs w:val="32"/>
        </w:rPr>
        <w:t>12</w:t>
      </w:r>
      <w:r>
        <w:rPr>
          <w:rFonts w:hint="eastAsia" w:ascii="仿宋_GB2312" w:hAnsi="宋体" w:eastAsia="仿宋_GB2312"/>
          <w:color w:val="000000"/>
          <w:sz w:val="32"/>
          <w:szCs w:val="32"/>
        </w:rPr>
        <w:t>月份调给区宣传部，</w:t>
      </w:r>
      <w:r>
        <w:rPr>
          <w:rFonts w:hint="eastAsia" w:ascii="仿宋_GB2312" w:eastAsia="仿宋_GB2312"/>
          <w:sz w:val="32"/>
          <w:szCs w:val="32"/>
        </w:rPr>
        <w:t>其他</w:t>
      </w:r>
      <w:r>
        <w:rPr>
          <w:rFonts w:hint="eastAsia" w:ascii="仿宋_GB2312" w:hAnsi="仿宋_GB2312" w:eastAsia="仿宋_GB2312" w:cs="仿宋_GB2312"/>
          <w:sz w:val="32"/>
          <w:szCs w:val="32"/>
        </w:rPr>
        <w:t>均为办公设备。</w:t>
      </w:r>
      <w:r>
        <w:rPr>
          <w:rFonts w:hint="eastAsia" w:ascii="仿宋_GB2312" w:eastAsia="仿宋_GB2312"/>
          <w:sz w:val="32"/>
          <w:szCs w:val="32"/>
        </w:rPr>
        <w:t>单位没有价值</w:t>
      </w:r>
      <w:r>
        <w:rPr>
          <w:rFonts w:ascii="仿宋_GB2312" w:eastAsia="仿宋_GB2312"/>
          <w:sz w:val="32"/>
          <w:szCs w:val="32"/>
        </w:rPr>
        <w:t>50</w:t>
      </w:r>
      <w:r>
        <w:rPr>
          <w:rFonts w:hint="eastAsia" w:ascii="仿宋_GB2312" w:eastAsia="仿宋_GB2312"/>
          <w:sz w:val="32"/>
          <w:szCs w:val="32"/>
        </w:rPr>
        <w:t>万元以上通用设备，没有单价</w:t>
      </w:r>
      <w:r>
        <w:rPr>
          <w:rFonts w:ascii="仿宋_GB2312" w:eastAsia="仿宋_GB2312"/>
          <w:sz w:val="32"/>
          <w:szCs w:val="32"/>
        </w:rPr>
        <w:t>100</w:t>
      </w:r>
      <w:r>
        <w:rPr>
          <w:rFonts w:hint="eastAsia" w:ascii="仿宋_GB2312" w:eastAsia="仿宋_GB2312"/>
          <w:sz w:val="32"/>
          <w:szCs w:val="32"/>
        </w:rPr>
        <w:t>万元以上专用设备。</w:t>
      </w:r>
    </w:p>
    <w:p>
      <w:pPr>
        <w:spacing w:line="580" w:lineRule="exact"/>
        <w:ind w:firstLine="640" w:firstLineChars="200"/>
        <w:rPr>
          <w:rFonts w:ascii="仿宋_GB2312" w:eastAsia="仿宋_GB2312"/>
          <w:b/>
          <w:sz w:val="32"/>
          <w:szCs w:val="32"/>
        </w:rPr>
      </w:pPr>
      <w:r>
        <w:rPr>
          <w:rFonts w:ascii="仿宋_GB2312" w:eastAsia="仿宋_GB2312"/>
          <w:sz w:val="32"/>
          <w:szCs w:val="32"/>
        </w:rPr>
        <w:t xml:space="preserve"> </w:t>
      </w:r>
      <w:r>
        <w:rPr>
          <w:rFonts w:hint="eastAsia" w:ascii="仿宋_GB2312" w:eastAsia="仿宋_GB2312"/>
          <w:b/>
          <w:bCs/>
          <w:sz w:val="32"/>
          <w:szCs w:val="32"/>
          <w:lang w:eastAsia="zh-CN"/>
        </w:rPr>
        <w:t>（四）</w:t>
      </w:r>
      <w:r>
        <w:rPr>
          <w:rFonts w:hint="eastAsia" w:ascii="仿宋_GB2312" w:eastAsia="仿宋_GB2312"/>
          <w:b/>
          <w:bCs/>
          <w:sz w:val="32"/>
          <w:szCs w:val="32"/>
        </w:rPr>
        <w:t>预算</w:t>
      </w:r>
      <w:r>
        <w:rPr>
          <w:rFonts w:hint="eastAsia" w:ascii="仿宋_GB2312" w:eastAsia="仿宋_GB2312"/>
          <w:b/>
          <w:bCs/>
          <w:sz w:val="32"/>
          <w:szCs w:val="32"/>
          <w:lang w:eastAsia="zh-CN"/>
        </w:rPr>
        <w:t>绩效管理工作开展情况：不适用。</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第四部分</w:t>
      </w:r>
      <w:r>
        <w:rPr>
          <w:rFonts w:ascii="仿宋_GB2312" w:eastAsia="仿宋_GB2312"/>
          <w:b/>
          <w:sz w:val="32"/>
          <w:szCs w:val="32"/>
        </w:rPr>
        <w:t xml:space="preserve">  </w:t>
      </w:r>
      <w:r>
        <w:rPr>
          <w:rFonts w:hint="eastAsia" w:ascii="仿宋_GB2312" w:eastAsia="仿宋_GB2312"/>
          <w:b/>
          <w:sz w:val="32"/>
          <w:szCs w:val="32"/>
        </w:rPr>
        <w:t>名词解释</w:t>
      </w:r>
    </w:p>
    <w:p>
      <w:pPr>
        <w:numPr>
          <w:ilvl w:val="0"/>
          <w:numId w:val="2"/>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w:t>
      </w:r>
      <w:r>
        <w:rPr>
          <w:rFonts w:ascii="仿宋_GB2312" w:eastAsia="仿宋_GB2312"/>
          <w:sz w:val="32"/>
          <w:szCs w:val="32"/>
        </w:rPr>
        <w:t xml:space="preserve"> </w:t>
      </w:r>
      <w:r>
        <w:rPr>
          <w:rFonts w:hint="eastAsia" w:ascii="仿宋_GB2312" w:eastAsia="仿宋_GB2312"/>
          <w:sz w:val="32"/>
          <w:szCs w:val="32"/>
        </w:rPr>
        <w:t>“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w:t>
      </w:r>
      <w:r>
        <w:rPr>
          <w:rFonts w:ascii="仿宋_GB2312" w:hAnsi="宋体" w:eastAsia="仿宋_GB2312" w:cs="宋体"/>
          <w:kern w:val="0"/>
          <w:sz w:val="32"/>
          <w:szCs w:val="32"/>
        </w:rPr>
        <w:t>1</w:t>
      </w:r>
      <w:r>
        <w:rPr>
          <w:rFonts w:hint="eastAsia" w:ascii="仿宋_GB2312" w:hAnsi="宋体" w:eastAsia="仿宋_GB2312" w:cs="宋体"/>
          <w:kern w:val="0"/>
          <w:sz w:val="32"/>
          <w:szCs w:val="32"/>
        </w:rPr>
        <w:t>）因公出国（境）费，指单位工作人员公务出国（境）的住宿费、旅费、伙食补助费、杂费、培训费等支出。（</w:t>
      </w:r>
      <w:r>
        <w:rPr>
          <w:rFonts w:ascii="仿宋_GB2312" w:hAnsi="宋体" w:eastAsia="仿宋_GB2312" w:cs="宋体"/>
          <w:kern w:val="0"/>
          <w:sz w:val="32"/>
          <w:szCs w:val="32"/>
        </w:rPr>
        <w:t>2</w:t>
      </w:r>
      <w:r>
        <w:rPr>
          <w:rFonts w:hint="eastAsia" w:ascii="仿宋_GB2312" w:hAnsi="宋体" w:eastAsia="仿宋_GB2312" w:cs="宋体"/>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hAnsi="宋体" w:eastAsia="仿宋_GB2312" w:cs="宋体"/>
          <w:kern w:val="0"/>
          <w:sz w:val="32"/>
          <w:szCs w:val="32"/>
        </w:rPr>
        <w:t>3</w:t>
      </w:r>
      <w:r>
        <w:rPr>
          <w:rFonts w:hint="eastAsia" w:ascii="仿宋_GB2312" w:hAnsi="宋体" w:eastAsia="仿宋_GB2312" w:cs="宋体"/>
          <w:kern w:val="0"/>
          <w:sz w:val="32"/>
          <w:szCs w:val="32"/>
        </w:rPr>
        <w:t>）公务接待费，指单位按规定开支的各类公务接待（含外宾接待）支出。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rPr>
          <w:rFonts w:ascii="方正小标宋简体" w:eastAsia="方正小标宋简体"/>
          <w:sz w:val="44"/>
          <w:szCs w:val="44"/>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sectPr>
      <w:footerReference r:id="rId3" w:type="default"/>
      <w:footerReference r:id="rId4" w:type="even"/>
      <w:pgSz w:w="11906" w:h="16838"/>
      <w:pgMar w:top="1440" w:right="1531" w:bottom="144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宋体"/>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0F3C52"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楷体">
    <w:altName w:val="楷体_GB2312"/>
    <w:panose1 w:val="02010609060101010101"/>
    <w:charset w:val="86"/>
    <w:family w:val="auto"/>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50C1"/>
    <w:multiLevelType w:val="singleLevel"/>
    <w:tmpl w:val="5A5F50C1"/>
    <w:lvl w:ilvl="0" w:tentative="0">
      <w:start w:val="1"/>
      <w:numFmt w:val="chineseCounting"/>
      <w:suff w:val="nothing"/>
      <w:lvlText w:val="%1、"/>
      <w:lvlJc w:val="left"/>
      <w:rPr>
        <w:rFonts w:cs="Times New Roman"/>
      </w:rPr>
    </w:lvl>
  </w:abstractNum>
  <w:abstractNum w:abstractNumId="1">
    <w:nsid w:val="5AC4411F"/>
    <w:multiLevelType w:val="singleLevel"/>
    <w:tmpl w:val="5AC4411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7C06"/>
    <w:rsid w:val="0001582F"/>
    <w:rsid w:val="0001600C"/>
    <w:rsid w:val="00037EBB"/>
    <w:rsid w:val="00050996"/>
    <w:rsid w:val="00054C81"/>
    <w:rsid w:val="000605F9"/>
    <w:rsid w:val="00091080"/>
    <w:rsid w:val="00091E7C"/>
    <w:rsid w:val="000A2719"/>
    <w:rsid w:val="000C1053"/>
    <w:rsid w:val="000F1BF8"/>
    <w:rsid w:val="00106D2F"/>
    <w:rsid w:val="0014384C"/>
    <w:rsid w:val="001438E8"/>
    <w:rsid w:val="00147DEA"/>
    <w:rsid w:val="00152991"/>
    <w:rsid w:val="0016539D"/>
    <w:rsid w:val="001738B1"/>
    <w:rsid w:val="00176E62"/>
    <w:rsid w:val="00190B5C"/>
    <w:rsid w:val="001916CB"/>
    <w:rsid w:val="001D4F34"/>
    <w:rsid w:val="001F17EA"/>
    <w:rsid w:val="00226DDA"/>
    <w:rsid w:val="002313DA"/>
    <w:rsid w:val="00232BB7"/>
    <w:rsid w:val="00236621"/>
    <w:rsid w:val="002412AC"/>
    <w:rsid w:val="002436EC"/>
    <w:rsid w:val="0027273B"/>
    <w:rsid w:val="00283B7C"/>
    <w:rsid w:val="00295E9E"/>
    <w:rsid w:val="002B3879"/>
    <w:rsid w:val="002B706A"/>
    <w:rsid w:val="002C1D36"/>
    <w:rsid w:val="002F22A6"/>
    <w:rsid w:val="00337694"/>
    <w:rsid w:val="00340BBE"/>
    <w:rsid w:val="00351DA7"/>
    <w:rsid w:val="003522CE"/>
    <w:rsid w:val="00360170"/>
    <w:rsid w:val="00374E6D"/>
    <w:rsid w:val="00380858"/>
    <w:rsid w:val="003936B2"/>
    <w:rsid w:val="003A2B54"/>
    <w:rsid w:val="003A7E96"/>
    <w:rsid w:val="003C78A1"/>
    <w:rsid w:val="003F46AC"/>
    <w:rsid w:val="00401321"/>
    <w:rsid w:val="00404F02"/>
    <w:rsid w:val="00434F3A"/>
    <w:rsid w:val="004444E8"/>
    <w:rsid w:val="00445466"/>
    <w:rsid w:val="00475A88"/>
    <w:rsid w:val="0048188B"/>
    <w:rsid w:val="00482E05"/>
    <w:rsid w:val="004D2BA7"/>
    <w:rsid w:val="004E1B98"/>
    <w:rsid w:val="005018B6"/>
    <w:rsid w:val="00504504"/>
    <w:rsid w:val="005069F9"/>
    <w:rsid w:val="00520558"/>
    <w:rsid w:val="00521833"/>
    <w:rsid w:val="00524C23"/>
    <w:rsid w:val="00580221"/>
    <w:rsid w:val="0058516B"/>
    <w:rsid w:val="00595C98"/>
    <w:rsid w:val="005A4F3C"/>
    <w:rsid w:val="005A5A52"/>
    <w:rsid w:val="005B081B"/>
    <w:rsid w:val="005B1E56"/>
    <w:rsid w:val="005C2237"/>
    <w:rsid w:val="005D3F63"/>
    <w:rsid w:val="005E0E9D"/>
    <w:rsid w:val="005E6F87"/>
    <w:rsid w:val="005F1C4E"/>
    <w:rsid w:val="00624713"/>
    <w:rsid w:val="00640CC5"/>
    <w:rsid w:val="00643981"/>
    <w:rsid w:val="00645783"/>
    <w:rsid w:val="00672453"/>
    <w:rsid w:val="00683B11"/>
    <w:rsid w:val="006A6746"/>
    <w:rsid w:val="006C2F73"/>
    <w:rsid w:val="006D0F6C"/>
    <w:rsid w:val="006E56FD"/>
    <w:rsid w:val="0075114A"/>
    <w:rsid w:val="00751685"/>
    <w:rsid w:val="007521FB"/>
    <w:rsid w:val="00752364"/>
    <w:rsid w:val="007619A1"/>
    <w:rsid w:val="00772EDE"/>
    <w:rsid w:val="00783A05"/>
    <w:rsid w:val="007C367E"/>
    <w:rsid w:val="007D0DA6"/>
    <w:rsid w:val="007D7594"/>
    <w:rsid w:val="007D7C08"/>
    <w:rsid w:val="007E0A58"/>
    <w:rsid w:val="007E7C3C"/>
    <w:rsid w:val="007F1A22"/>
    <w:rsid w:val="008215AD"/>
    <w:rsid w:val="00832B82"/>
    <w:rsid w:val="00835D17"/>
    <w:rsid w:val="008553E8"/>
    <w:rsid w:val="008725CC"/>
    <w:rsid w:val="00877C06"/>
    <w:rsid w:val="00890FD7"/>
    <w:rsid w:val="008B7116"/>
    <w:rsid w:val="008C0703"/>
    <w:rsid w:val="008D25D4"/>
    <w:rsid w:val="008D5A11"/>
    <w:rsid w:val="008F0CD0"/>
    <w:rsid w:val="00914BE5"/>
    <w:rsid w:val="009211E4"/>
    <w:rsid w:val="00923F36"/>
    <w:rsid w:val="00933B60"/>
    <w:rsid w:val="0095119D"/>
    <w:rsid w:val="0096111D"/>
    <w:rsid w:val="009737FE"/>
    <w:rsid w:val="00986C7A"/>
    <w:rsid w:val="00996460"/>
    <w:rsid w:val="009B1050"/>
    <w:rsid w:val="009B32AF"/>
    <w:rsid w:val="009B62F4"/>
    <w:rsid w:val="009C27DC"/>
    <w:rsid w:val="009E5A6B"/>
    <w:rsid w:val="00A0251C"/>
    <w:rsid w:val="00A35B4F"/>
    <w:rsid w:val="00A35C4F"/>
    <w:rsid w:val="00A46564"/>
    <w:rsid w:val="00A51A5D"/>
    <w:rsid w:val="00A51D52"/>
    <w:rsid w:val="00AA6DA1"/>
    <w:rsid w:val="00AA75D8"/>
    <w:rsid w:val="00AC00C5"/>
    <w:rsid w:val="00AE017B"/>
    <w:rsid w:val="00AE6E36"/>
    <w:rsid w:val="00AF0D0B"/>
    <w:rsid w:val="00AF472F"/>
    <w:rsid w:val="00B175F5"/>
    <w:rsid w:val="00B32FAB"/>
    <w:rsid w:val="00B64D88"/>
    <w:rsid w:val="00B6773E"/>
    <w:rsid w:val="00B72DE7"/>
    <w:rsid w:val="00B83CF4"/>
    <w:rsid w:val="00B94885"/>
    <w:rsid w:val="00B94E1F"/>
    <w:rsid w:val="00BD7549"/>
    <w:rsid w:val="00BE18B4"/>
    <w:rsid w:val="00C35F99"/>
    <w:rsid w:val="00C559D7"/>
    <w:rsid w:val="00C55B4C"/>
    <w:rsid w:val="00C70E08"/>
    <w:rsid w:val="00C76191"/>
    <w:rsid w:val="00C81A73"/>
    <w:rsid w:val="00CB0AE0"/>
    <w:rsid w:val="00CB1BC6"/>
    <w:rsid w:val="00CB66CE"/>
    <w:rsid w:val="00CC05AD"/>
    <w:rsid w:val="00CF57A8"/>
    <w:rsid w:val="00D137CE"/>
    <w:rsid w:val="00D26A05"/>
    <w:rsid w:val="00D51888"/>
    <w:rsid w:val="00D72350"/>
    <w:rsid w:val="00DB45DC"/>
    <w:rsid w:val="00DD10A8"/>
    <w:rsid w:val="00DD5B04"/>
    <w:rsid w:val="00DF5203"/>
    <w:rsid w:val="00E14B59"/>
    <w:rsid w:val="00E2547D"/>
    <w:rsid w:val="00E316E9"/>
    <w:rsid w:val="00E37F02"/>
    <w:rsid w:val="00E50624"/>
    <w:rsid w:val="00E85B70"/>
    <w:rsid w:val="00E862C6"/>
    <w:rsid w:val="00EA1A2B"/>
    <w:rsid w:val="00EA4705"/>
    <w:rsid w:val="00ED5DF0"/>
    <w:rsid w:val="00ED5EF9"/>
    <w:rsid w:val="00EE22CE"/>
    <w:rsid w:val="00EE6CE6"/>
    <w:rsid w:val="00EF7B2A"/>
    <w:rsid w:val="00F3437A"/>
    <w:rsid w:val="00F40071"/>
    <w:rsid w:val="00F4125F"/>
    <w:rsid w:val="00F6014C"/>
    <w:rsid w:val="00F61524"/>
    <w:rsid w:val="00F932B8"/>
    <w:rsid w:val="00F94564"/>
    <w:rsid w:val="00FA2581"/>
    <w:rsid w:val="00FA28C6"/>
    <w:rsid w:val="00FB3352"/>
    <w:rsid w:val="00FB3ADF"/>
    <w:rsid w:val="00FB6E15"/>
    <w:rsid w:val="00FE3450"/>
    <w:rsid w:val="00FE450D"/>
    <w:rsid w:val="0771489A"/>
    <w:rsid w:val="07A662E1"/>
    <w:rsid w:val="0A3E524B"/>
    <w:rsid w:val="114141C3"/>
    <w:rsid w:val="11714D33"/>
    <w:rsid w:val="140021A6"/>
    <w:rsid w:val="1DD42B95"/>
    <w:rsid w:val="1E3F207D"/>
    <w:rsid w:val="1ECD43BD"/>
    <w:rsid w:val="20862B8A"/>
    <w:rsid w:val="23496843"/>
    <w:rsid w:val="235A7156"/>
    <w:rsid w:val="24B50E64"/>
    <w:rsid w:val="26582B22"/>
    <w:rsid w:val="287A1B53"/>
    <w:rsid w:val="2EFB27FB"/>
    <w:rsid w:val="2F8965CC"/>
    <w:rsid w:val="33EC244B"/>
    <w:rsid w:val="34F7228B"/>
    <w:rsid w:val="35647660"/>
    <w:rsid w:val="37434351"/>
    <w:rsid w:val="38826762"/>
    <w:rsid w:val="38BC5781"/>
    <w:rsid w:val="38CE330D"/>
    <w:rsid w:val="41395806"/>
    <w:rsid w:val="434F1DE9"/>
    <w:rsid w:val="43AB5D4B"/>
    <w:rsid w:val="457924BF"/>
    <w:rsid w:val="49E94531"/>
    <w:rsid w:val="4A9B4B28"/>
    <w:rsid w:val="4DA74689"/>
    <w:rsid w:val="4F1B6621"/>
    <w:rsid w:val="4FF15B66"/>
    <w:rsid w:val="523F3D8F"/>
    <w:rsid w:val="5271788F"/>
    <w:rsid w:val="53AF2FC1"/>
    <w:rsid w:val="55FE12A0"/>
    <w:rsid w:val="5F83381E"/>
    <w:rsid w:val="607930B9"/>
    <w:rsid w:val="60CE0258"/>
    <w:rsid w:val="61677B8D"/>
    <w:rsid w:val="6885580D"/>
    <w:rsid w:val="68FF0CF8"/>
    <w:rsid w:val="6C9A167D"/>
    <w:rsid w:val="6D432D62"/>
    <w:rsid w:val="70616FB8"/>
    <w:rsid w:val="76BF60D1"/>
    <w:rsid w:val="79125E92"/>
    <w:rsid w:val="7A6D6149"/>
    <w:rsid w:val="7CED536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99"/>
    <w:rPr>
      <w:rFonts w:cs="Times New Roman"/>
    </w:rPr>
  </w:style>
  <w:style w:type="character" w:customStyle="1" w:styleId="9">
    <w:name w:val="Header Char"/>
    <w:basedOn w:val="6"/>
    <w:link w:val="4"/>
    <w:semiHidden/>
    <w:qFormat/>
    <w:locked/>
    <w:uiPriority w:val="99"/>
    <w:rPr>
      <w:rFonts w:ascii="Times New Roman" w:hAnsi="Times New Roman" w:cs="Times New Roman"/>
      <w:sz w:val="18"/>
      <w:szCs w:val="18"/>
    </w:rPr>
  </w:style>
  <w:style w:type="character" w:customStyle="1" w:styleId="10">
    <w:name w:val="Footer Char"/>
    <w:basedOn w:val="6"/>
    <w:link w:val="3"/>
    <w:semiHidden/>
    <w:qFormat/>
    <w:locked/>
    <w:uiPriority w:val="99"/>
    <w:rPr>
      <w:rFonts w:ascii="Times New Roman" w:hAnsi="Times New Roman" w:cs="Times New Roman"/>
      <w:sz w:val="18"/>
      <w:szCs w:val="18"/>
    </w:rPr>
  </w:style>
  <w:style w:type="character" w:customStyle="1" w:styleId="11">
    <w:name w:val="Balloon Text Char"/>
    <w:basedOn w:val="6"/>
    <w:link w:val="2"/>
    <w:semiHidden/>
    <w:qFormat/>
    <w:locked/>
    <w:uiPriority w:val="99"/>
    <w:rPr>
      <w:rFonts w:ascii="Times New Roman" w:hAnsi="Times New Roman" w:cs="Times New Roman"/>
      <w:sz w:val="2"/>
    </w:rPr>
  </w:style>
  <w:style w:type="paragraph" w:customStyle="1" w:styleId="12">
    <w:name w:val="List Paragraph"/>
    <w:basedOn w:val="1"/>
    <w:qFormat/>
    <w:uiPriority w:val="99"/>
    <w:pPr>
      <w:ind w:firstLine="420" w:firstLineChars="200"/>
    </w:pPr>
  </w:style>
  <w:style w:type="paragraph" w:customStyle="1" w:styleId="13">
    <w:name w:val="p0"/>
    <w:basedOn w:val="1"/>
    <w:qFormat/>
    <w:uiPriority w:val="99"/>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9</Pages>
  <Words>535</Words>
  <Characters>3053</Characters>
  <Lines>0</Lines>
  <Paragraphs>0</Paragraphs>
  <TotalTime>1</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2018-04-03T00:09:00Z</dcterms:created>
  <dc:creator>lify</dc:creator>
  <cp:lastModifiedBy>rcqzgh</cp:lastModifiedBy>
  <cp:lastPrinted>2018-03-29T02:49:00Z</cp:lastPrinted>
  <dcterms:modified xsi:type="dcterms:W3CDTF">2018-04-04T05:05:51Z</dcterms:modified>
  <dc:title>预算单位部门决算公开模板</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