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Times New Roman"/>
          <w:sz w:val="84"/>
          <w:szCs w:val="84"/>
        </w:rPr>
      </w:pPr>
    </w:p>
    <w:p>
      <w:pPr>
        <w:jc w:val="center"/>
        <w:rPr>
          <w:rFonts w:ascii="方正小标宋简体" w:hAnsi="方正小标宋简体" w:eastAsia="方正小标宋简体" w:cs="Times New Roman"/>
          <w:sz w:val="84"/>
          <w:szCs w:val="84"/>
        </w:rPr>
      </w:pPr>
    </w:p>
    <w:p>
      <w:pPr>
        <w:jc w:val="center"/>
        <w:rPr>
          <w:rFonts w:ascii="方正小标宋简体" w:hAnsi="方正小标宋简体" w:eastAsia="方正小标宋简体" w:cs="Times New Roman"/>
          <w:sz w:val="84"/>
          <w:szCs w:val="84"/>
        </w:rPr>
      </w:pPr>
      <w:r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  <w:t>2018</w:t>
      </w:r>
      <w:r>
        <w:rPr>
          <w:rFonts w:hint="eastAsia" w:ascii="方正小标宋简体" w:hAnsi="方正小标宋简体" w:eastAsia="方正小标宋简体" w:cs="方正小标宋简体"/>
          <w:sz w:val="84"/>
          <w:szCs w:val="84"/>
        </w:rPr>
        <w:t>年</w:t>
      </w:r>
      <w:r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  <w:t>榕城区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84"/>
          <w:szCs w:val="84"/>
        </w:rPr>
      </w:pPr>
      <w:r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  <w:t>农业和水利局</w:t>
      </w:r>
      <w:r>
        <w:rPr>
          <w:rFonts w:hint="eastAsia" w:ascii="方正小标宋简体" w:hAnsi="方正小标宋简体" w:eastAsia="方正小标宋简体" w:cs="方正小标宋简体"/>
          <w:sz w:val="84"/>
          <w:szCs w:val="84"/>
        </w:rPr>
        <w:t>预算</w:t>
      </w:r>
    </w:p>
    <w:p>
      <w:pPr>
        <w:jc w:val="center"/>
        <w:rPr>
          <w:rFonts w:ascii="方正小标宋简体" w:hAnsi="方正小标宋简体" w:eastAsia="方正小标宋简体" w:cs="Times New Roman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84"/>
          <w:szCs w:val="84"/>
        </w:rPr>
        <w:br w:type="page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目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录</w:t>
      </w:r>
    </w:p>
    <w:p>
      <w:pPr>
        <w:jc w:val="center"/>
        <w:rPr>
          <w:rFonts w:ascii="黑体" w:hAnsi="黑体" w:eastAsia="黑体" w:cs="Times New Roman"/>
          <w:sz w:val="44"/>
          <w:szCs w:val="44"/>
        </w:rPr>
      </w:pPr>
    </w:p>
    <w:p>
      <w:pPr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第一部分</w:t>
      </w:r>
      <w:r>
        <w:rPr>
          <w:rFonts w:ascii="黑体" w:hAnsi="黑体" w:eastAsia="黑体" w:cs="黑体"/>
          <w:sz w:val="32"/>
          <w:szCs w:val="32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榕城区农业和水利局</w:t>
      </w:r>
      <w:r>
        <w:rPr>
          <w:rFonts w:hint="eastAsia" w:ascii="黑体" w:hAnsi="黑体" w:eastAsia="黑体" w:cs="黑体"/>
          <w:sz w:val="32"/>
          <w:szCs w:val="32"/>
        </w:rPr>
        <w:t>概况</w:t>
      </w:r>
    </w:p>
    <w:p>
      <w:pPr>
        <w:numPr>
          <w:ilvl w:val="0"/>
          <w:numId w:val="1"/>
        </w:numPr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主要职责</w:t>
      </w:r>
    </w:p>
    <w:p>
      <w:pPr>
        <w:numPr>
          <w:ilvl w:val="0"/>
          <w:numId w:val="1"/>
        </w:numPr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机构设置</w:t>
      </w:r>
    </w:p>
    <w:p>
      <w:pPr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第二部分</w:t>
      </w:r>
      <w:r>
        <w:rPr>
          <w:rFonts w:ascii="黑体" w:hAnsi="黑体" w:eastAsia="黑体" w:cs="黑体"/>
          <w:sz w:val="32"/>
          <w:szCs w:val="32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2018</w:t>
      </w:r>
      <w:r>
        <w:rPr>
          <w:rFonts w:hint="eastAsia" w:ascii="黑体" w:hAnsi="黑体" w:eastAsia="黑体" w:cs="黑体"/>
          <w:sz w:val="32"/>
          <w:szCs w:val="32"/>
        </w:rPr>
        <w:t>年部门预算表</w:t>
      </w:r>
    </w:p>
    <w:p>
      <w:pPr>
        <w:numPr>
          <w:ilvl w:val="0"/>
          <w:numId w:val="2"/>
        </w:numPr>
        <w:ind w:firstLine="64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收支总体情况表</w:t>
      </w:r>
    </w:p>
    <w:p>
      <w:pPr>
        <w:numPr>
          <w:ilvl w:val="0"/>
          <w:numId w:val="2"/>
        </w:numPr>
        <w:ind w:firstLine="64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收入总体情况表</w:t>
      </w:r>
    </w:p>
    <w:p>
      <w:pPr>
        <w:numPr>
          <w:ilvl w:val="0"/>
          <w:numId w:val="2"/>
        </w:numPr>
        <w:ind w:firstLine="64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支出总体情况表</w:t>
      </w:r>
    </w:p>
    <w:p>
      <w:pPr>
        <w:numPr>
          <w:ilvl w:val="0"/>
          <w:numId w:val="2"/>
        </w:numPr>
        <w:ind w:firstLine="64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财政拨款收支总体情况表</w:t>
      </w:r>
    </w:p>
    <w:p>
      <w:pPr>
        <w:numPr>
          <w:ilvl w:val="0"/>
          <w:numId w:val="2"/>
        </w:numPr>
        <w:ind w:firstLine="64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一般公共预算支出情况表（按功能分类科目）</w:t>
      </w:r>
    </w:p>
    <w:p>
      <w:pPr>
        <w:numPr>
          <w:ilvl w:val="0"/>
          <w:numId w:val="2"/>
        </w:numPr>
        <w:ind w:firstLine="64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一般公共预算基本支出情况表（按支出经济分类科目）</w:t>
      </w:r>
    </w:p>
    <w:p>
      <w:pPr>
        <w:numPr>
          <w:ilvl w:val="0"/>
          <w:numId w:val="2"/>
        </w:numPr>
        <w:ind w:firstLine="64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一般公共预算项目支出情况表（按支出经济分类科目）</w:t>
      </w:r>
    </w:p>
    <w:p>
      <w:pPr>
        <w:numPr>
          <w:ilvl w:val="0"/>
          <w:numId w:val="2"/>
        </w:numPr>
        <w:ind w:firstLine="64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一般公共预算安排的行政经费及“三公”经费预算表</w:t>
      </w:r>
    </w:p>
    <w:p>
      <w:pPr>
        <w:numPr>
          <w:ilvl w:val="0"/>
          <w:numId w:val="2"/>
        </w:numPr>
        <w:ind w:firstLine="64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政府性基金预算支出情况表</w:t>
      </w:r>
    </w:p>
    <w:p>
      <w:pPr>
        <w:numPr>
          <w:ilvl w:val="0"/>
          <w:numId w:val="2"/>
        </w:numPr>
        <w:ind w:firstLine="64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部门预算基本支出预算表</w:t>
      </w:r>
    </w:p>
    <w:p>
      <w:pPr>
        <w:numPr>
          <w:ilvl w:val="0"/>
          <w:numId w:val="2"/>
        </w:numPr>
        <w:ind w:firstLine="64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部门预算项目支出及其他支出预算表</w:t>
      </w:r>
    </w:p>
    <w:p>
      <w:pPr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第三部分</w:t>
      </w:r>
      <w:r>
        <w:rPr>
          <w:rFonts w:ascii="黑体" w:hAnsi="黑体" w:eastAsia="黑体" w:cs="黑体"/>
          <w:sz w:val="32"/>
          <w:szCs w:val="32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2018</w:t>
      </w:r>
      <w:r>
        <w:rPr>
          <w:rFonts w:hint="eastAsia" w:ascii="黑体" w:hAnsi="黑体" w:eastAsia="黑体" w:cs="黑体"/>
          <w:sz w:val="32"/>
          <w:szCs w:val="32"/>
        </w:rPr>
        <w:t>年部门预算情况说明</w:t>
      </w:r>
    </w:p>
    <w:p>
      <w:pPr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第四部分</w:t>
      </w:r>
      <w:r>
        <w:rPr>
          <w:rFonts w:ascii="黑体" w:hAnsi="黑体" w:eastAsia="黑体" w:cs="黑体"/>
          <w:sz w:val="32"/>
          <w:szCs w:val="32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</w:rPr>
        <w:t>名词解释</w:t>
      </w:r>
    </w:p>
    <w:p>
      <w:pPr>
        <w:jc w:val="center"/>
        <w:rPr>
          <w:rFonts w:ascii="方正小标宋简体" w:hAnsi="方正小标宋简体" w:eastAsia="方正小标宋简体" w:cs="Times New Roman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第一部分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榕城区农业和水利局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概况</w:t>
      </w:r>
    </w:p>
    <w:p>
      <w:pPr>
        <w:rPr>
          <w:rFonts w:ascii="黑体" w:hAnsi="黑体" w:eastAsia="黑体" w:cs="Times New Roman"/>
          <w:sz w:val="44"/>
          <w:szCs w:val="44"/>
        </w:rPr>
      </w:pPr>
    </w:p>
    <w:p>
      <w:pPr>
        <w:numPr>
          <w:ilvl w:val="0"/>
          <w:numId w:val="3"/>
        </w:numPr>
        <w:ind w:firstLine="64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主要职责</w:t>
      </w:r>
    </w:p>
    <w:p>
      <w:pPr>
        <w:ind w:firstLine="640"/>
        <w:rPr>
          <w:rFonts w:hint="eastAsia"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Times New Roman"/>
          <w:sz w:val="32"/>
          <w:szCs w:val="32"/>
        </w:rPr>
        <w:t>贯彻执行有关“三农”工作方针政策、拟定发展规划、抗灾复产、完善服务体系。</w:t>
      </w:r>
    </w:p>
    <w:p>
      <w:pPr>
        <w:ind w:firstLine="640"/>
        <w:rPr>
          <w:rFonts w:ascii="仿宋_GB2312" w:hAnsi="仿宋_GB2312" w:eastAsia="仿宋_GB2312" w:cs="Times New Roman"/>
          <w:sz w:val="32"/>
          <w:szCs w:val="32"/>
        </w:rPr>
      </w:pPr>
    </w:p>
    <w:p>
      <w:pPr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</w:rPr>
        <w:t>二、机构设置</w:t>
      </w:r>
    </w:p>
    <w:p>
      <w:pPr>
        <w:ind w:firstLine="640"/>
        <w:rPr>
          <w:rFonts w:hint="eastAsia"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Times New Roman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Times New Roman"/>
          <w:sz w:val="32"/>
          <w:szCs w:val="32"/>
        </w:rPr>
        <w:t>本部门预算为汇总预算，包括：局本级预算，以及纳入编制范围的下属单位预算。下属单位具体包括：</w:t>
      </w:r>
      <w:r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>榕城区</w:t>
      </w:r>
      <w:r>
        <w:rPr>
          <w:rFonts w:hint="eastAsia" w:ascii="仿宋_GB2312" w:hAnsi="仿宋_GB2312" w:eastAsia="仿宋_GB2312" w:cs="Times New Roman"/>
          <w:sz w:val="32"/>
          <w:szCs w:val="32"/>
        </w:rPr>
        <w:t>水利水电建设服务中心、</w:t>
      </w:r>
      <w:r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>榕城区</w:t>
      </w:r>
      <w:r>
        <w:rPr>
          <w:rFonts w:hint="eastAsia" w:ascii="仿宋_GB2312" w:hAnsi="仿宋_GB2312" w:eastAsia="仿宋_GB2312" w:cs="Times New Roman"/>
          <w:sz w:val="32"/>
          <w:szCs w:val="32"/>
        </w:rPr>
        <w:t>动物防疫监督所。</w:t>
      </w:r>
    </w:p>
    <w:p>
      <w:pPr>
        <w:ind w:firstLine="640"/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Times New Roman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Times New Roman"/>
          <w:sz w:val="32"/>
          <w:szCs w:val="32"/>
        </w:rPr>
        <w:t>本</w:t>
      </w:r>
      <w:r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>部门</w:t>
      </w:r>
      <w:r>
        <w:rPr>
          <w:rFonts w:hint="eastAsia" w:ascii="仿宋_GB2312" w:hAnsi="仿宋_GB2312" w:eastAsia="仿宋_GB2312" w:cs="Times New Roman"/>
          <w:sz w:val="32"/>
          <w:szCs w:val="32"/>
        </w:rPr>
        <w:t>内设机构、人员构成情况：</w:t>
      </w:r>
      <w:r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>单位内设人秘股、经营管理股、农业股、畜牧兽医局、渔业局、林业局、水利股、农村工作股、扶贫办（老区办）等股室，编制数45。</w:t>
      </w:r>
    </w:p>
    <w:p>
      <w:pPr>
        <w:ind w:firstLine="640"/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ascii="方正小标宋简体" w:hAnsi="方正小标宋简体" w:eastAsia="方正小标宋简体" w:cs="Times New Roman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第二部分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2018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年部门预算表</w:t>
      </w:r>
    </w:p>
    <w:p>
      <w:pPr>
        <w:ind w:firstLine="643" w:firstLineChars="200"/>
        <w:jc w:val="center"/>
        <w:rPr>
          <w:rFonts w:ascii="楷体_GB2312" w:hAnsi="楷体_GB2312" w:eastAsia="楷体_GB2312" w:cs="Times New Roman"/>
          <w:b/>
          <w:bCs/>
          <w:color w:val="FF0000"/>
          <w:sz w:val="32"/>
          <w:szCs w:val="32"/>
          <w:highlight w:val="lightGray"/>
          <w:u w:val="single"/>
        </w:rPr>
      </w:pP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highlight w:val="lightGray"/>
          <w:u w:val="single"/>
          <w:lang w:val="en-US" w:eastAsia="zh-CN"/>
        </w:rPr>
        <w:t>(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highlight w:val="lightGray"/>
          <w:u w:val="single"/>
        </w:rPr>
        <w:t>表格公开以</w:t>
      </w:r>
      <w:r>
        <w:rPr>
          <w:rFonts w:ascii="仿宋_GB2312" w:hAnsi="仿宋_GB2312" w:eastAsia="仿宋_GB2312" w:cs="仿宋_GB2312"/>
          <w:b/>
          <w:bCs/>
          <w:color w:val="FF0000"/>
          <w:sz w:val="32"/>
          <w:szCs w:val="32"/>
          <w:highlight w:val="lightGray"/>
          <w:u w:val="single"/>
        </w:rPr>
        <w:t>EXCEL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highlight w:val="lightGray"/>
          <w:u w:val="single"/>
        </w:rPr>
        <w:t>电子表格公开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highlight w:val="lightGray"/>
          <w:u w:val="single"/>
          <w:lang w:val="en-US" w:eastAsia="zh-CN"/>
        </w:rPr>
        <w:t>)</w:t>
      </w:r>
    </w:p>
    <w:p>
      <w:pPr>
        <w:rPr>
          <w:rFonts w:ascii="楷体_GB2312" w:hAnsi="楷体_GB2312" w:eastAsia="楷体_GB2312" w:cs="Times New Roman"/>
          <w:sz w:val="32"/>
          <w:szCs w:val="32"/>
          <w:u w:val="single"/>
        </w:rPr>
      </w:pPr>
    </w:p>
    <w:p>
      <w:pPr>
        <w:jc w:val="center"/>
        <w:rPr>
          <w:rFonts w:ascii="方正小标宋简体" w:hAnsi="方正小标宋简体" w:eastAsia="方正小标宋简体" w:cs="Times New Roman"/>
          <w:sz w:val="44"/>
          <w:szCs w:val="44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ascii="方正小标宋简体" w:hAnsi="方正小标宋简体" w:eastAsia="方正小标宋简体" w:cs="Times New Roman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第三部分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2018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年部门预算情况说明</w:t>
      </w:r>
    </w:p>
    <w:p>
      <w:pPr>
        <w:rPr>
          <w:rFonts w:ascii="方正小标宋简体" w:hAnsi="方正小标宋简体" w:eastAsia="方正小标宋简体" w:cs="Times New Roman"/>
          <w:sz w:val="44"/>
          <w:szCs w:val="44"/>
        </w:rPr>
      </w:pPr>
    </w:p>
    <w:p>
      <w:pPr>
        <w:numPr>
          <w:ilvl w:val="0"/>
          <w:numId w:val="4"/>
        </w:numPr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部门预算收支增减变化情况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年本部门收入预算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460.76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万元，比上年增加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83.52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万元，增长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22.14</w:t>
      </w:r>
      <w:r>
        <w:rPr>
          <w:rFonts w:hint="eastAsia" w:ascii="仿宋_GB2312" w:hAnsi="仿宋_GB2312" w:eastAsia="仿宋_GB2312" w:cs="仿宋_GB2312"/>
          <w:sz w:val="32"/>
          <w:szCs w:val="32"/>
        </w:rPr>
        <w:t>%，主要原因是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对个人和家庭的补助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支出增加</w:t>
      </w:r>
      <w:r>
        <w:rPr>
          <w:rFonts w:hint="eastAsia" w:ascii="仿宋_GB2312" w:hAnsi="仿宋_GB2312" w:eastAsia="仿宋_GB2312" w:cs="仿宋_GB2312"/>
          <w:sz w:val="32"/>
          <w:szCs w:val="32"/>
        </w:rPr>
        <w:t>；支出预算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460.76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万元，比上年增加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83.52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万元，增长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22.14</w:t>
      </w:r>
      <w:r>
        <w:rPr>
          <w:rFonts w:hint="eastAsia" w:ascii="仿宋_GB2312" w:hAnsi="仿宋_GB2312" w:eastAsia="仿宋_GB2312" w:cs="仿宋_GB2312"/>
          <w:sz w:val="32"/>
          <w:szCs w:val="32"/>
        </w:rPr>
        <w:t>%，主要原因是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对个人和家庭的补助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支出增加。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4"/>
        </w:numPr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“三公”经费安排情况说明</w:t>
      </w:r>
    </w:p>
    <w:p>
      <w:pPr>
        <w:ind w:firstLine="64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年本部门“三公”经费预算安排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与上年保持不变</w:t>
      </w:r>
      <w:r>
        <w:rPr>
          <w:rFonts w:hint="eastAsia" w:ascii="仿宋_GB2312" w:hAnsi="仿宋_GB2312" w:eastAsia="仿宋_GB2312" w:cs="仿宋_GB2312"/>
          <w:sz w:val="32"/>
          <w:szCs w:val="32"/>
        </w:rPr>
        <w:t>。其中：因公出国（境）费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与上年保持不变</w:t>
      </w:r>
      <w:r>
        <w:rPr>
          <w:rFonts w:hint="eastAsia" w:ascii="仿宋_GB2312" w:hAnsi="仿宋_GB2312" w:eastAsia="仿宋_GB2312" w:cs="仿宋_GB2312"/>
          <w:sz w:val="32"/>
          <w:szCs w:val="32"/>
        </w:rPr>
        <w:t>；公务用车购置及运行费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与上年保持不变</w:t>
      </w:r>
      <w:r>
        <w:rPr>
          <w:rFonts w:hint="eastAsia" w:ascii="仿宋_GB2312" w:hAnsi="仿宋_GB2312" w:eastAsia="仿宋_GB2312" w:cs="仿宋_GB2312"/>
          <w:sz w:val="32"/>
          <w:szCs w:val="32"/>
        </w:rPr>
        <w:t>；公务接待费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万元，与上年保持不变。</w:t>
      </w:r>
    </w:p>
    <w:p>
      <w:pPr>
        <w:numPr>
          <w:ilvl w:val="0"/>
          <w:numId w:val="4"/>
        </w:numPr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机关运行经费安排情况</w:t>
      </w:r>
    </w:p>
    <w:p>
      <w:pPr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年，本部门机关运行经费安排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18.38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与上年保持不变</w:t>
      </w:r>
      <w:r>
        <w:rPr>
          <w:rFonts w:hint="eastAsia" w:ascii="仿宋_GB2312" w:hAnsi="仿宋_GB2312" w:eastAsia="仿宋_GB2312" w:cs="仿宋_GB2312"/>
          <w:sz w:val="32"/>
          <w:szCs w:val="32"/>
        </w:rPr>
        <w:t>。其中：办公费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2.58万元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，印刷费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，邮电费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，差旅费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，会议费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，福利费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，日常维修费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，专用材料及一般设备购置费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，办公用房水电费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，办公用房取暖费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，办公用房物业管理费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，公务用车运行维护费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0.80万元，其他交通费用15.00万元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numPr>
          <w:ilvl w:val="0"/>
          <w:numId w:val="4"/>
        </w:numPr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政府采购情况</w:t>
      </w:r>
    </w:p>
    <w:p>
      <w:pPr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年本部门政府采购安排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万元，其中：货物类采购预算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万元，工程类采购预算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万元，服务类采购预算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万元等。</w:t>
      </w:r>
    </w:p>
    <w:p>
      <w:pPr>
        <w:numPr>
          <w:ilvl w:val="0"/>
          <w:numId w:val="4"/>
        </w:numPr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国有资产占有使用情况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截至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sz w:val="32"/>
          <w:szCs w:val="32"/>
        </w:rPr>
        <w:t>日，本部门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共有车辆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2辆，其中：领导干部用车0辆，一般公务用车2辆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numPr>
          <w:ilvl w:val="0"/>
          <w:numId w:val="4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预算绩效信息公开情况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"/>
          <w:sz w:val="32"/>
          <w:szCs w:val="32"/>
        </w:rPr>
        <w:t>201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8</w:t>
      </w:r>
      <w:r>
        <w:rPr>
          <w:rFonts w:hint="eastAsia" w:ascii="仿宋_GB2312" w:hAnsi="宋体" w:eastAsia="仿宋_GB2312" w:cs="仿宋"/>
          <w:sz w:val="32"/>
          <w:szCs w:val="32"/>
        </w:rPr>
        <w:t>年本部门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将</w:t>
      </w:r>
      <w:r>
        <w:rPr>
          <w:rFonts w:hint="eastAsia" w:ascii="仿宋_GB2312" w:eastAsia="仿宋_GB2312"/>
          <w:color w:val="000000"/>
          <w:sz w:val="32"/>
          <w:szCs w:val="32"/>
        </w:rPr>
        <w:t>着力提高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农林水的</w:t>
      </w:r>
      <w:r>
        <w:rPr>
          <w:rFonts w:hint="eastAsia" w:ascii="仿宋_GB2312" w:eastAsia="仿宋_GB2312"/>
          <w:color w:val="000000"/>
          <w:sz w:val="32"/>
          <w:szCs w:val="32"/>
        </w:rPr>
        <w:t>发展质量和效益，</w:t>
      </w:r>
      <w:r>
        <w:rPr>
          <w:rFonts w:hint="eastAsia" w:ascii="仿宋_GB2312" w:eastAsia="仿宋_GB2312"/>
          <w:sz w:val="32"/>
          <w:szCs w:val="32"/>
        </w:rPr>
        <w:t>依法依规，严格程序，加强协调，妥善处理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历史遗留问题，</w:t>
      </w:r>
      <w:r>
        <w:rPr>
          <w:rFonts w:hint="eastAsia" w:ascii="仿宋_GB2312" w:eastAsia="仿宋_GB2312"/>
          <w:color w:val="000000"/>
          <w:sz w:val="32"/>
          <w:szCs w:val="32"/>
        </w:rPr>
        <w:t>积极开展“回头看”，查漏补缺，确保工作质量。</w:t>
      </w:r>
    </w:p>
    <w:p>
      <w:pPr>
        <w:ind w:firstLine="64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第四部分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名词解释</w:t>
      </w:r>
    </w:p>
    <w:p>
      <w:pPr>
        <w:ind w:firstLine="64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一）财政拨款收入：指区财政当年拨付的资金。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机关运行经费：为保障行政单位（含下属事业单位）运行用于同，购买货物和服务的各项资金，包括办公费、印刷费、手续费、邮电费、差旅费、维修（护）费、会议费、劳务费、一般设备购置费、办公用房水电费、办公用房物业管理费、公务用车运行维护费以及其他费用。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（三）“三公”经费：指财政部门用财政拨款安排的因公出国（境）费、公务用车购置及运行费和公务接待费。</w:t>
      </w:r>
    </w:p>
    <w:p>
      <w:pPr>
        <w:ind w:firstLine="640" w:firstLineChars="200"/>
        <w:jc w:val="left"/>
        <w:rPr>
          <w:rFonts w:ascii="楷体_GB2312" w:hAnsi="楷体_GB2312" w:eastAsia="楷体_GB2312" w:cs="Times New Roman"/>
          <w:sz w:val="32"/>
          <w:szCs w:val="32"/>
          <w:highlight w:val="lightGray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 Unicode M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Times New Roman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Arial Unicode MS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Wingdings">
    <w:altName w:val="Wingdings 2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ymbol">
    <w:altName w:val="Bookshelf Symbol 7"/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altName w:val="Arial Unicode MS"/>
    <w:panose1 w:val="020B0604020202020204"/>
    <w:charset w:val="00"/>
    <w:family w:val="swiss"/>
    <w:pitch w:val="default"/>
    <w:sig w:usb0="00000000" w:usb1="00000000" w:usb2="00000008" w:usb3="00000000" w:csb0="000001FF" w:csb1="00000000"/>
  </w:font>
  <w:font w:name="Dotum">
    <w:panose1 w:val="020B0600000101010101"/>
    <w:charset w:val="81"/>
    <w:family w:val="swiss"/>
    <w:pitch w:val="default"/>
    <w:sig w:usb0="B00002AF" w:usb1="69D77CFB" w:usb2="00000030" w:usb3="00000000" w:csb0="4008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5F2250"/>
    <w:multiLevelType w:val="singleLevel"/>
    <w:tmpl w:val="5A5F2250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5A5F2384"/>
    <w:multiLevelType w:val="singleLevel"/>
    <w:tmpl w:val="5A5F2384"/>
    <w:lvl w:ilvl="0" w:tentative="0">
      <w:start w:val="1"/>
      <w:numFmt w:val="chineseCounting"/>
      <w:suff w:val="nothing"/>
      <w:lvlText w:val="%1、"/>
      <w:lvlJc w:val="left"/>
    </w:lvl>
  </w:abstractNum>
  <w:abstractNum w:abstractNumId="2">
    <w:nsid w:val="5A5F2A51"/>
    <w:multiLevelType w:val="singleLevel"/>
    <w:tmpl w:val="5A5F2A51"/>
    <w:lvl w:ilvl="0" w:tentative="0">
      <w:start w:val="1"/>
      <w:numFmt w:val="chineseCounting"/>
      <w:suff w:val="nothing"/>
      <w:lvlText w:val="%1、"/>
      <w:lvlJc w:val="left"/>
    </w:lvl>
  </w:abstractNum>
  <w:abstractNum w:abstractNumId="3">
    <w:nsid w:val="5A600927"/>
    <w:multiLevelType w:val="singleLevel"/>
    <w:tmpl w:val="5A600927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dit="forms"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5FA"/>
    <w:rsid w:val="00170D99"/>
    <w:rsid w:val="00274487"/>
    <w:rsid w:val="002A6EF3"/>
    <w:rsid w:val="002B3CA4"/>
    <w:rsid w:val="00325012"/>
    <w:rsid w:val="003C4EF5"/>
    <w:rsid w:val="003F4DF0"/>
    <w:rsid w:val="005228AB"/>
    <w:rsid w:val="0055749D"/>
    <w:rsid w:val="005D0FF4"/>
    <w:rsid w:val="006E656A"/>
    <w:rsid w:val="007E2CBE"/>
    <w:rsid w:val="007E6DBB"/>
    <w:rsid w:val="00BA45FA"/>
    <w:rsid w:val="00E55744"/>
    <w:rsid w:val="00F52BDE"/>
    <w:rsid w:val="0E0131B8"/>
    <w:rsid w:val="13016A31"/>
    <w:rsid w:val="1D2D6530"/>
    <w:rsid w:val="20EE6A13"/>
    <w:rsid w:val="27285A91"/>
    <w:rsid w:val="2CA86092"/>
    <w:rsid w:val="36E602DD"/>
    <w:rsid w:val="50CB6A87"/>
    <w:rsid w:val="5A297A8A"/>
    <w:rsid w:val="5EF563E9"/>
    <w:rsid w:val="60E37A9B"/>
    <w:rsid w:val="66D06120"/>
    <w:rsid w:val="6D9B07DA"/>
    <w:rsid w:val="7A3D1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4"/>
    <w:link w:val="3"/>
    <w:qFormat/>
    <w:locked/>
    <w:uiPriority w:val="99"/>
    <w:rPr>
      <w:rFonts w:ascii="Calibri" w:hAnsi="Calibri" w:cs="Calibri"/>
      <w:kern w:val="2"/>
      <w:sz w:val="18"/>
      <w:szCs w:val="18"/>
    </w:rPr>
  </w:style>
  <w:style w:type="character" w:customStyle="1" w:styleId="7">
    <w:name w:val="Footer Char"/>
    <w:basedOn w:val="4"/>
    <w:link w:val="2"/>
    <w:qFormat/>
    <w:locked/>
    <w:uiPriority w:val="99"/>
    <w:rPr>
      <w:rFonts w:ascii="Calibri" w:hAnsi="Calibri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7</Pages>
  <Words>237</Words>
  <Characters>1351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2018-03-19T02:10:00Z</dcterms:created>
  <dc:creator>huangzj</dc:creator>
  <cp:lastModifiedBy>Administrator</cp:lastModifiedBy>
  <cp:lastPrinted>2018-02-09T07:39:00Z</cp:lastPrinted>
  <dcterms:modified xsi:type="dcterms:W3CDTF">2018-05-03T08:31:39Z</dcterms:modified>
  <dc:title>**年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