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2015年榕城区</w:t>
      </w:r>
      <w:r>
        <w:rPr>
          <w:rFonts w:hint="eastAsia" w:ascii="方正小标宋简体" w:eastAsia="方正小标宋简体"/>
          <w:sz w:val="44"/>
          <w:szCs w:val="44"/>
          <w:lang w:eastAsia="zh-CN"/>
        </w:rPr>
        <w:t>发改</w:t>
      </w:r>
      <w:r>
        <w:rPr>
          <w:rFonts w:hint="eastAsia" w:ascii="方正小标宋简体" w:eastAsia="方正小标宋简体"/>
          <w:sz w:val="44"/>
          <w:szCs w:val="44"/>
        </w:rPr>
        <w:t>局决算公开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榕城区</w:t>
      </w:r>
      <w:r>
        <w:rPr>
          <w:rFonts w:hint="eastAsia" w:ascii="宋体" w:hAnsi="宋体"/>
          <w:b/>
          <w:sz w:val="36"/>
          <w:szCs w:val="36"/>
          <w:lang w:eastAsia="zh-CN"/>
        </w:rPr>
        <w:t>发改</w:t>
      </w:r>
      <w:r>
        <w:rPr>
          <w:rFonts w:hint="eastAsia" w:ascii="宋体" w:hAnsi="宋体"/>
          <w:b/>
          <w:sz w:val="36"/>
          <w:szCs w:val="36"/>
        </w:rPr>
        <w:t>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榕城区</w:t>
      </w:r>
      <w:r>
        <w:rPr>
          <w:rFonts w:hint="eastAsia" w:ascii="宋体" w:hAnsi="宋体"/>
          <w:b/>
          <w:sz w:val="36"/>
          <w:szCs w:val="36"/>
          <w:lang w:eastAsia="zh-CN"/>
        </w:rPr>
        <w:t>发改</w:t>
      </w:r>
      <w:r>
        <w:rPr>
          <w:rFonts w:hint="eastAsia" w:ascii="宋体" w:hAnsi="宋体"/>
          <w:b/>
          <w:sz w:val="36"/>
          <w:szCs w:val="36"/>
        </w:rPr>
        <w:t>局2015年部门决算表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榕城区</w:t>
      </w:r>
      <w:r>
        <w:rPr>
          <w:rFonts w:hint="eastAsia" w:ascii="宋体" w:hAnsi="宋体"/>
          <w:b/>
          <w:sz w:val="36"/>
          <w:szCs w:val="36"/>
          <w:lang w:eastAsia="zh-CN"/>
        </w:rPr>
        <w:t>发改</w:t>
      </w:r>
      <w:r>
        <w:rPr>
          <w:rFonts w:hint="eastAsia" w:ascii="宋体" w:hAnsi="宋体"/>
          <w:b/>
          <w:sz w:val="36"/>
          <w:szCs w:val="36"/>
        </w:rPr>
        <w:t>局2015年部门决算情况说明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榕城区</w:t>
      </w:r>
      <w:r>
        <w:rPr>
          <w:rFonts w:hint="eastAsia" w:ascii="宋体" w:hAnsi="宋体"/>
          <w:b/>
          <w:sz w:val="36"/>
          <w:szCs w:val="36"/>
          <w:lang w:eastAsia="zh-CN"/>
        </w:rPr>
        <w:t>发改</w:t>
      </w:r>
      <w:r>
        <w:rPr>
          <w:rFonts w:hint="eastAsia" w:ascii="宋体" w:hAnsi="宋体"/>
          <w:b/>
          <w:sz w:val="36"/>
          <w:szCs w:val="36"/>
        </w:rPr>
        <w:t>局概况</w:t>
      </w:r>
    </w:p>
    <w:p>
      <w:pPr>
        <w:ind w:firstLine="800" w:firstLineChars="250"/>
        <w:rPr>
          <w:rFonts w:ascii="黑体" w:hAnsi="黑体" w:eastAsia="黑体"/>
          <w:sz w:val="32"/>
          <w:szCs w:val="32"/>
        </w:rPr>
      </w:pPr>
      <w:r>
        <w:rPr>
          <w:rFonts w:hint="eastAsia" w:ascii="黑体" w:hAnsi="黑体" w:eastAsia="黑体" w:cs="黑体"/>
          <w:sz w:val="32"/>
          <w:szCs w:val="32"/>
        </w:rPr>
        <w:t>一、主要职责</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和省有关国民经济和社会发展的方针政策和法律法规，起草有关规范性文件，编制国民经济和社会发展中长期规划纲要和年度计划，提出国民经济发展和优化经济结构的目标，受区人民政府委托向区人民代表大会提交国民经济和社会发展规划、计划的报告。</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区经济、社会供需平衡及比例关系的综合协调，提出综合运用各种经济手段和政策的建议，统筹协调经济社会发展；研究分析全区和国内外经济形势与发展情况，加强全区国民经济和社会发展的监测、预测与预警分析。开展全区国民经济和社会发展重点、难点问题的调查研究，提出应对建议。</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（三）贯彻执行经济体制改革方针政策，研究区经济体制改革有关问题，参与制订经济体制改革方案，协调财政、土地、金融等有关专项体制改革方案。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（四）管理权限内商品和服务价格，监管实行市场调节价的商品和服务价格，承担行政事业性收费管理工作，负责相关价格公共服务工作，负责全区价格监督检查工作。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规划重大建设项目和生产力布局的责任，拟订全社会固定资产投资规模和投资结构的调控目标、意见及措施，研究提出全区重点项目建设投资年度计划，负责全区重点项目建设全过程的协调、管理和监督考核，组织开展区级重大建设项目稽察；负责建立全区重点项目储备库；按规定权限审批、核准、审核、备案投资建设项目，核准及转报涉及公共资源开发利用项目的竞争性配置方案；组织实施企业投资项目管理制度改革，简化审批程序、完善备案程序，研究引导民间投资的政策措施。</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（六）推进经济结构调整和升级，提出重要产业的发展战略和规划，组织拟订综合性产业政策，协调产业发展的重大问题并衔接平衡相关发展规划和重大政策，做好与国民经济和社会发展规划、计划的衔接平衡。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（七）监测和分析能源产业、能源安全的发展状况，参与规划重大项目布局，推动能源消费总量控制。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（八）承担重要商品总量平衡和宏观调控的责任，编制重要农产品、工业品和原材料总量平衡计划并监督执行，会同有关部门管理区级粮食等重要物资储备。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负责社会发展与国民经济发展的政策衔接，组织拟订人口和社会发展战略、总体规划和年度计划，参与拟订计划生育、科学技术、教育、文化、卫生、民政等发展政策，研究提出促进就业、调整收入分配、完善社会保障与经济协调发展的政策建议，协调社会事业发展和改革中的有关问题及政策。</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提出粮食宏观调控、总量平衡、粮食流通的中长期规划，以及地方储备粮规模、总体布局和收储、动用计划建议；监测分析粮食供求形势，提出粮食安全措施，完善粮食应急机制；拟订粮食管理规定、办法和措施，负责军粮供应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推进可持续发展战略，负责综合分析经济社会与资源、环境协调发展问题，牵头组织拟订节能减排中长期规划及综合性工作方案，综合协调节能相关工作；参与编制生态建设、环境保护规划，协调生态建设、能源资源节约和综合利用的重大问题；承担区节能减排工作领导小组的日常工作。</w:t>
      </w:r>
    </w:p>
    <w:p>
      <w:pPr>
        <w:spacing w:line="620" w:lineRule="exact"/>
        <w:ind w:firstLine="600"/>
        <w:rPr>
          <w:rFonts w:ascii="仿宋_GB2312" w:hAnsi="仿宋_GB2312" w:eastAsia="仿宋_GB2312"/>
          <w:spacing w:val="6"/>
          <w:sz w:val="32"/>
        </w:rPr>
      </w:pPr>
      <w:r>
        <w:rPr>
          <w:rFonts w:hint="eastAsia" w:ascii="仿宋_GB2312" w:hAnsi="仿宋_GB2312" w:eastAsia="仿宋_GB2312" w:cs="仿宋_GB2312"/>
          <w:sz w:val="32"/>
          <w:szCs w:val="32"/>
        </w:rPr>
        <w:t xml:space="preserve">（十二）做好国民经济动员规划、计划，协调相关重大问题，推进经济动员军民融合式发展，组织实施国民经济动员有关工作任务。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（十三）按规定指导和协调招标投标工作，对重大建设项目招标投标进行监督检查。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（十四）承办区人民政府与市发展和改革局交办的其他事项。</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本部门无下属单位，部门预算为本级预算。</w:t>
      </w:r>
    </w:p>
    <w:p>
      <w:pPr>
        <w:numPr>
          <w:ilvl w:val="0"/>
          <w:numId w:val="0"/>
        </w:numPr>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揭阳市机构编制委员会《关于印发揭阳市榕城区人民政府职能转变和机构改革方案的通知》（揭市机编发[2014]47号）设立揭阳市榕城区发展和改革局，为区人民政府工作部门。根据《印发揭阳市榕城区发展和改革局主要职责内设机构和人员编制规定的通知》（揭榕机编[2015]12号）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我局设有6个内设机构，分别是办公室（加挂区国民经济动员办公室牌子）、综合股、投资股（加挂区重点项目稽察办公室牌子）、粮食股、价格收费管理股、物价检查股（加挂价格举报中心牌子）。</w:t>
      </w:r>
      <w:r>
        <w:rPr>
          <w:rFonts w:hint="eastAsia" w:ascii="仿宋_GB2312" w:hAnsi="仿宋_GB2312" w:eastAsia="仿宋_GB2312" w:cs="仿宋_GB2312"/>
          <w:sz w:val="32"/>
          <w:szCs w:val="32"/>
          <w:lang w:eastAsia="zh-CN"/>
        </w:rPr>
        <w:t>我局机关行政编制</w:t>
      </w:r>
      <w:r>
        <w:rPr>
          <w:rFonts w:hint="eastAsia" w:ascii="仿宋_GB2312" w:hAnsi="仿宋_GB2312" w:eastAsia="仿宋_GB2312" w:cs="仿宋_GB2312"/>
          <w:sz w:val="32"/>
          <w:szCs w:val="32"/>
          <w:lang w:val="en-US" w:eastAsia="zh-CN"/>
        </w:rPr>
        <w:t>6名，行政执法专项编制4名。其中：局长1名、副局长3名（其中1名兼任区粮食局局长）；正股级领导职数6名。后勤服务人员数2名。</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榕城区</w:t>
      </w:r>
      <w:r>
        <w:rPr>
          <w:rFonts w:hint="eastAsia" w:ascii="宋体" w:hAnsi="宋体"/>
          <w:b/>
          <w:sz w:val="36"/>
          <w:szCs w:val="36"/>
          <w:lang w:eastAsia="zh-CN"/>
        </w:rPr>
        <w:t>发改</w:t>
      </w:r>
      <w:r>
        <w:rPr>
          <w:rFonts w:hint="eastAsia" w:ascii="宋体" w:hAnsi="宋体"/>
          <w:b/>
          <w:sz w:val="36"/>
          <w:szCs w:val="36"/>
        </w:rPr>
        <w:t>局2015年部门决算表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见附表。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榕城区</w:t>
      </w:r>
      <w:r>
        <w:rPr>
          <w:rFonts w:hint="eastAsia" w:ascii="宋体" w:hAnsi="宋体"/>
          <w:b/>
          <w:sz w:val="36"/>
          <w:szCs w:val="36"/>
          <w:lang w:eastAsia="zh-CN"/>
        </w:rPr>
        <w:t>发改</w:t>
      </w:r>
      <w:r>
        <w:rPr>
          <w:rFonts w:hint="eastAsia" w:ascii="宋体" w:hAnsi="宋体"/>
          <w:b/>
          <w:sz w:val="36"/>
          <w:szCs w:val="36"/>
        </w:rPr>
        <w:t>局2015年部门决算情况说明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一、2015年度收入支出决算总体情况说明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局2015年度总收入</w:t>
      </w:r>
      <w:r>
        <w:rPr>
          <w:rFonts w:hint="eastAsia" w:ascii="仿宋_GB2312" w:eastAsia="仿宋_GB2312"/>
          <w:sz w:val="32"/>
          <w:szCs w:val="32"/>
          <w:lang w:val="en-US" w:eastAsia="zh-CN"/>
        </w:rPr>
        <w:t>290.69</w:t>
      </w:r>
      <w:r>
        <w:rPr>
          <w:rFonts w:hint="eastAsia" w:ascii="仿宋_GB2312" w:eastAsia="仿宋_GB2312"/>
          <w:sz w:val="32"/>
          <w:szCs w:val="32"/>
        </w:rPr>
        <w:t>万元，其中本年收入</w:t>
      </w:r>
      <w:r>
        <w:rPr>
          <w:rFonts w:hint="eastAsia" w:ascii="仿宋_GB2312" w:eastAsia="仿宋_GB2312"/>
          <w:sz w:val="32"/>
          <w:szCs w:val="32"/>
          <w:lang w:val="en-US" w:eastAsia="zh-CN"/>
        </w:rPr>
        <w:t>290.69</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290.69</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193.12</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66</w:t>
      </w:r>
      <w:r>
        <w:rPr>
          <w:rFonts w:hint="eastAsia" w:ascii="仿宋_GB2312" w:eastAsia="仿宋_GB2312"/>
          <w:sz w:val="32"/>
          <w:szCs w:val="32"/>
        </w:rPr>
        <w:t xml:space="preserve"> %。主要原因</w:t>
      </w:r>
      <w:r>
        <w:rPr>
          <w:rFonts w:hint="eastAsia" w:ascii="仿宋_GB2312" w:eastAsia="仿宋_GB2312"/>
          <w:sz w:val="32"/>
          <w:szCs w:val="32"/>
          <w:lang w:eastAsia="zh-CN"/>
        </w:rPr>
        <w:t>是业务量增加</w:t>
      </w:r>
      <w:r>
        <w:rPr>
          <w:rFonts w:hint="eastAsia" w:ascii="仿宋_GB2312" w:eastAsia="仿宋_GB2312"/>
          <w:sz w:val="32"/>
          <w:szCs w:val="32"/>
        </w:rPr>
        <w:t>。</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 0万元，与上年同。</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3．事业收入 0万元，与上年同。</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4．经营收入 0万元，与上年同。</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5．其他收入0 万元，与上年同。</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局2015年度总支出</w:t>
      </w:r>
      <w:r>
        <w:rPr>
          <w:rFonts w:hint="eastAsia" w:ascii="仿宋_GB2312" w:eastAsia="仿宋_GB2312"/>
          <w:sz w:val="32"/>
          <w:szCs w:val="32"/>
          <w:lang w:val="en-US" w:eastAsia="zh-CN"/>
        </w:rPr>
        <w:t>290.69</w:t>
      </w:r>
      <w:r>
        <w:rPr>
          <w:rFonts w:hint="eastAsia" w:ascii="仿宋_GB2312" w:eastAsia="仿宋_GB2312"/>
          <w:sz w:val="32"/>
          <w:szCs w:val="32"/>
        </w:rPr>
        <w:t xml:space="preserve">万元，其中本年支出  </w:t>
      </w:r>
      <w:r>
        <w:rPr>
          <w:rFonts w:hint="eastAsia" w:ascii="仿宋_GB2312" w:eastAsia="仿宋_GB2312"/>
          <w:sz w:val="32"/>
          <w:szCs w:val="32"/>
          <w:lang w:val="en-US" w:eastAsia="zh-CN"/>
        </w:rPr>
        <w:t>290.69</w:t>
      </w:r>
      <w:r>
        <w:rPr>
          <w:rFonts w:hint="eastAsia" w:ascii="仿宋_GB2312" w:eastAsia="仿宋_GB2312"/>
          <w:sz w:val="32"/>
          <w:szCs w:val="32"/>
        </w:rPr>
        <w:t>万元。具体情况如下：</w:t>
      </w:r>
    </w:p>
    <w:p>
      <w:pPr>
        <w:spacing w:line="640" w:lineRule="exact"/>
        <w:ind w:firstLine="640" w:firstLineChars="200"/>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一般公共服务（类）支出</w:t>
      </w:r>
      <w:r>
        <w:rPr>
          <w:rFonts w:hint="eastAsia" w:ascii="仿宋_GB2312" w:eastAsia="仿宋_GB2312"/>
          <w:sz w:val="32"/>
          <w:szCs w:val="32"/>
          <w:lang w:val="en-US" w:eastAsia="zh-CN"/>
        </w:rPr>
        <w:t>82.42</w:t>
      </w:r>
      <w:r>
        <w:rPr>
          <w:rFonts w:hint="eastAsia" w:ascii="仿宋_GB2312" w:eastAsia="仿宋_GB2312"/>
          <w:sz w:val="32"/>
          <w:szCs w:val="32"/>
        </w:rPr>
        <w:t>万元，比上年决算数增加</w:t>
      </w:r>
      <w:r>
        <w:rPr>
          <w:rFonts w:hint="eastAsia" w:ascii="仿宋_GB2312" w:eastAsia="仿宋_GB2312"/>
          <w:sz w:val="32"/>
          <w:szCs w:val="32"/>
          <w:lang w:val="en-US" w:eastAsia="zh-CN"/>
        </w:rPr>
        <w:t>22.2</w:t>
      </w:r>
      <w:r>
        <w:rPr>
          <w:rFonts w:hint="eastAsia" w:ascii="仿宋_GB2312" w:eastAsia="仿宋_GB2312"/>
          <w:sz w:val="32"/>
          <w:szCs w:val="32"/>
        </w:rPr>
        <w:t>万元，增长</w:t>
      </w:r>
      <w:r>
        <w:rPr>
          <w:rFonts w:hint="eastAsia" w:ascii="仿宋_GB2312" w:eastAsia="仿宋_GB2312"/>
          <w:sz w:val="32"/>
          <w:szCs w:val="32"/>
          <w:lang w:val="en-US" w:eastAsia="zh-CN"/>
        </w:rPr>
        <w:t>27</w:t>
      </w:r>
      <w:r>
        <w:rPr>
          <w:rFonts w:hint="eastAsia" w:ascii="仿宋_GB2312" w:eastAsia="仿宋_GB2312"/>
          <w:sz w:val="32"/>
          <w:szCs w:val="32"/>
        </w:rPr>
        <w:t>%，主要原因</w:t>
      </w:r>
      <w:r>
        <w:rPr>
          <w:rFonts w:hint="eastAsia" w:ascii="仿宋_GB2312" w:eastAsia="仿宋_GB2312"/>
          <w:sz w:val="32"/>
          <w:szCs w:val="32"/>
          <w:lang w:eastAsia="zh-CN"/>
        </w:rPr>
        <w:t>是业务量增加</w:t>
      </w:r>
      <w:r>
        <w:rPr>
          <w:rFonts w:hint="eastAsia" w:ascii="仿宋_GB2312" w:eastAsia="仿宋_GB2312"/>
          <w:sz w:val="32"/>
          <w:szCs w:val="32"/>
        </w:rPr>
        <w:t>。</w:t>
      </w:r>
    </w:p>
    <w:p>
      <w:pPr>
        <w:spacing w:line="640" w:lineRule="exact"/>
        <w:ind w:firstLine="645"/>
        <w:rPr>
          <w:rFonts w:ascii="仿宋_GB2312" w:eastAsia="仿宋_GB2312"/>
          <w:sz w:val="32"/>
          <w:szCs w:val="32"/>
        </w:rPr>
      </w:pPr>
      <w:r>
        <w:rPr>
          <w:rFonts w:hint="eastAsia" w:ascii="仿宋_GB2312" w:eastAsia="仿宋_GB2312"/>
          <w:sz w:val="32"/>
          <w:szCs w:val="32"/>
        </w:rPr>
        <w:t>2.教育（类）支出 0 万元。</w:t>
      </w:r>
      <w:r>
        <w:rPr>
          <w:rFonts w:ascii="仿宋_GB2312" w:eastAsia="仿宋_GB2312"/>
          <w:sz w:val="32"/>
          <w:szCs w:val="32"/>
        </w:rPr>
        <w:t xml:space="preserve">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二、2015年度财政拨款收入支出总表说明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（一）2015年度财政拨款收入说明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局2015年度财政拨款收入合计</w:t>
      </w:r>
      <w:r>
        <w:rPr>
          <w:rFonts w:hint="eastAsia" w:ascii="仿宋_GB2312" w:eastAsia="仿宋_GB2312"/>
          <w:sz w:val="32"/>
          <w:szCs w:val="32"/>
          <w:lang w:val="en-US" w:eastAsia="zh-CN"/>
        </w:rPr>
        <w:t>290.69</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82.42</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39.91万元，住房保障支出2.43万元，其他支出165.92万元，</w:t>
      </w:r>
      <w:r>
        <w:rPr>
          <w:rFonts w:hint="eastAsia" w:ascii="仿宋_GB2312" w:eastAsia="仿宋_GB2312"/>
          <w:sz w:val="32"/>
          <w:szCs w:val="32"/>
          <w:lang w:eastAsia="zh-CN"/>
        </w:rPr>
        <w:t>比</w:t>
      </w:r>
      <w:r>
        <w:rPr>
          <w:rFonts w:hint="eastAsia" w:ascii="仿宋_GB2312" w:eastAsia="仿宋_GB2312"/>
          <w:sz w:val="32"/>
          <w:szCs w:val="32"/>
        </w:rPr>
        <w:t>年初预算数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233.29万元</w:t>
      </w:r>
      <w:r>
        <w:rPr>
          <w:rFonts w:hint="eastAsia" w:ascii="仿宋_GB2312" w:eastAsia="仿宋_GB2312"/>
          <w:sz w:val="32"/>
          <w:szCs w:val="32"/>
          <w:lang w:eastAsia="zh-CN"/>
        </w:rPr>
        <w:t>，</w:t>
      </w:r>
      <w:r>
        <w:rPr>
          <w:rFonts w:hint="eastAsia" w:ascii="仿宋_GB2312" w:eastAsia="仿宋_GB2312"/>
          <w:sz w:val="32"/>
          <w:szCs w:val="32"/>
        </w:rPr>
        <w:t>增长</w:t>
      </w:r>
      <w:r>
        <w:rPr>
          <w:rFonts w:hint="eastAsia" w:ascii="仿宋_GB2312" w:eastAsia="仿宋_GB2312"/>
          <w:sz w:val="32"/>
          <w:szCs w:val="32"/>
          <w:lang w:val="en-US" w:eastAsia="zh-CN"/>
        </w:rPr>
        <w:t>80</w:t>
      </w:r>
      <w:r>
        <w:rPr>
          <w:rFonts w:hint="eastAsia" w:ascii="仿宋_GB2312" w:eastAsia="仿宋_GB2312"/>
          <w:sz w:val="32"/>
          <w:szCs w:val="32"/>
        </w:rPr>
        <w:t>%</w:t>
      </w:r>
      <w:r>
        <w:rPr>
          <w:rFonts w:hint="eastAsia" w:ascii="仿宋_GB2312" w:eastAsia="仿宋_GB2312"/>
          <w:sz w:val="32"/>
          <w:szCs w:val="32"/>
          <w:lang w:eastAsia="zh-CN"/>
        </w:rPr>
        <w:t>，主要原因是增加拨付企业补助款。</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（二）2015年度财政拨款支出说明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局2015年度财政拨款支出合计</w:t>
      </w:r>
      <w:r>
        <w:rPr>
          <w:rFonts w:hint="eastAsia" w:ascii="仿宋_GB2312" w:eastAsia="仿宋_GB2312"/>
          <w:sz w:val="32"/>
          <w:szCs w:val="32"/>
          <w:lang w:val="en-US" w:eastAsia="zh-CN"/>
        </w:rPr>
        <w:t>290.69</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82.42</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39.91万元，住房保障支出2.43万元，其他支出165.92万元，</w:t>
      </w:r>
      <w:r>
        <w:rPr>
          <w:rFonts w:hint="eastAsia" w:ascii="仿宋_GB2312" w:eastAsia="仿宋_GB2312"/>
          <w:sz w:val="32"/>
          <w:szCs w:val="32"/>
        </w:rPr>
        <w:t>比年初预算数增加</w:t>
      </w:r>
      <w:r>
        <w:rPr>
          <w:rFonts w:hint="eastAsia" w:ascii="仿宋_GB2312" w:eastAsia="仿宋_GB2312"/>
          <w:sz w:val="32"/>
          <w:szCs w:val="32"/>
          <w:lang w:val="en-US" w:eastAsia="zh-CN"/>
        </w:rPr>
        <w:t>233.29</w:t>
      </w:r>
      <w:r>
        <w:rPr>
          <w:rFonts w:hint="eastAsia" w:ascii="仿宋_GB2312" w:eastAsia="仿宋_GB2312"/>
          <w:sz w:val="32"/>
          <w:szCs w:val="32"/>
        </w:rPr>
        <w:t>万元，增长</w:t>
      </w:r>
      <w:r>
        <w:rPr>
          <w:rFonts w:hint="eastAsia" w:ascii="仿宋_GB2312" w:eastAsia="仿宋_GB2312"/>
          <w:sz w:val="32"/>
          <w:szCs w:val="32"/>
          <w:lang w:val="en-US" w:eastAsia="zh-CN"/>
        </w:rPr>
        <w:t>80</w:t>
      </w:r>
      <w:r>
        <w:rPr>
          <w:rFonts w:hint="eastAsia" w:ascii="仿宋_GB2312" w:eastAsia="仿宋_GB2312"/>
          <w:sz w:val="32"/>
          <w:szCs w:val="32"/>
        </w:rPr>
        <w:t>%；主要原因是</w:t>
      </w:r>
      <w:r>
        <w:rPr>
          <w:rFonts w:hint="eastAsia" w:ascii="仿宋_GB2312" w:eastAsia="仿宋_GB2312"/>
          <w:sz w:val="32"/>
          <w:szCs w:val="32"/>
          <w:lang w:eastAsia="zh-CN"/>
        </w:rPr>
        <w:t>增加拨付企业补助款</w:t>
      </w:r>
      <w:bookmarkStart w:id="0" w:name="_GoBack"/>
      <w:bookmarkEnd w:id="0"/>
      <w:r>
        <w:rPr>
          <w:rFonts w:hint="eastAsia" w:ascii="仿宋_GB2312" w:eastAsia="仿宋_GB2312"/>
          <w:sz w:val="32"/>
          <w:szCs w:val="32"/>
        </w:rPr>
        <w:t>。</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82.42万元，</w:t>
      </w:r>
      <w:r>
        <w:rPr>
          <w:rFonts w:hint="eastAsia" w:ascii="仿宋_GB2312" w:eastAsia="仿宋_GB2312"/>
          <w:sz w:val="32"/>
          <w:szCs w:val="32"/>
        </w:rPr>
        <w:t>社会保障和就业支出</w:t>
      </w:r>
      <w:r>
        <w:rPr>
          <w:rFonts w:hint="eastAsia" w:ascii="仿宋_GB2312" w:eastAsia="仿宋_GB2312"/>
          <w:sz w:val="32"/>
          <w:szCs w:val="32"/>
          <w:lang w:val="en-US" w:eastAsia="zh-CN"/>
        </w:rPr>
        <w:t>,39.91</w:t>
      </w:r>
      <w:r>
        <w:rPr>
          <w:rFonts w:hint="eastAsia" w:ascii="仿宋_GB2312" w:eastAsia="仿宋_GB2312"/>
          <w:sz w:val="32"/>
          <w:szCs w:val="32"/>
        </w:rPr>
        <w:t>万元，住房保障支出</w:t>
      </w:r>
      <w:r>
        <w:rPr>
          <w:rFonts w:hint="eastAsia" w:ascii="仿宋_GB2312" w:eastAsia="仿宋_GB2312"/>
          <w:sz w:val="32"/>
          <w:szCs w:val="32"/>
          <w:lang w:val="en-US" w:eastAsia="zh-CN"/>
        </w:rPr>
        <w:t>2.43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其他支出165.92万元</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三、2015年度财政拨款“三公”经费支出决算情况说明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局2015年度“</w:t>
      </w:r>
      <w:r>
        <w:rPr>
          <w:rFonts w:hint="eastAsia" w:ascii="仿宋_GB2312" w:hAnsi="宋体" w:eastAsia="仿宋_GB2312"/>
          <w:sz w:val="32"/>
          <w:szCs w:val="32"/>
        </w:rPr>
        <w:t xml:space="preserve">三公”经费财政拨款支出决算为 </w:t>
      </w:r>
      <w:r>
        <w:rPr>
          <w:rFonts w:hint="eastAsia" w:ascii="仿宋_GB2312" w:hAnsi="宋体" w:eastAsia="仿宋_GB2312"/>
          <w:sz w:val="32"/>
          <w:szCs w:val="32"/>
          <w:lang w:val="en-US" w:eastAsia="zh-CN"/>
        </w:rPr>
        <w:t>2</w:t>
      </w:r>
      <w:r>
        <w:rPr>
          <w:rFonts w:hint="eastAsia" w:ascii="仿宋_GB2312" w:hAnsi="宋体" w:eastAsia="仿宋_GB2312"/>
          <w:sz w:val="32"/>
          <w:szCs w:val="32"/>
        </w:rPr>
        <w:t>万元。其中：</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2</w:t>
      </w:r>
      <w:r>
        <w:rPr>
          <w:rFonts w:hint="eastAsia" w:ascii="仿宋_GB2312" w:eastAsia="仿宋_GB2312"/>
          <w:sz w:val="32"/>
          <w:szCs w:val="32"/>
        </w:rPr>
        <w:t>万元。2015年度认真贯彻落实中央“八项规定”精神和厉行节约的要求，从严控制“三公”经费开支。</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与上年相比，2015年度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w:t>
      </w:r>
      <w:r>
        <w:rPr>
          <w:rFonts w:hint="eastAsia" w:ascii="仿宋_GB2312" w:hAnsi="宋体" w:eastAsia="仿宋_GB2312"/>
          <w:sz w:val="32"/>
          <w:szCs w:val="32"/>
        </w:rPr>
        <w:t>2万元，增长</w:t>
      </w:r>
      <w:r>
        <w:rPr>
          <w:rFonts w:hint="eastAsia" w:ascii="仿宋_GB2312" w:hAnsi="宋体" w:eastAsia="仿宋_GB2312"/>
          <w:sz w:val="32"/>
          <w:szCs w:val="32"/>
          <w:lang w:val="en-US" w:eastAsia="zh-CN"/>
        </w:rPr>
        <w:t>60</w:t>
      </w:r>
      <w:r>
        <w:rPr>
          <w:rFonts w:hint="eastAsia" w:ascii="仿宋_GB2312" w:hAnsi="宋体" w:eastAsia="仿宋_GB2312"/>
          <w:sz w:val="32"/>
          <w:szCs w:val="32"/>
        </w:rPr>
        <w:t>%。其中：</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增加</w:t>
      </w:r>
      <w:r>
        <w:rPr>
          <w:rFonts w:hint="eastAsia" w:ascii="仿宋_GB2312" w:eastAsia="仿宋_GB2312"/>
          <w:sz w:val="32"/>
          <w:szCs w:val="32"/>
          <w:lang w:val="en-US" w:eastAsia="zh-CN"/>
        </w:rPr>
        <w:t>1</w:t>
      </w:r>
      <w:r>
        <w:rPr>
          <w:rFonts w:hint="eastAsia" w:ascii="仿宋_GB2312" w:eastAsia="仿宋_GB2312"/>
          <w:sz w:val="32"/>
          <w:szCs w:val="32"/>
        </w:rPr>
        <w:t>.2万元，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60</w:t>
      </w:r>
      <w:r>
        <w:rPr>
          <w:rFonts w:hint="eastAsia" w:ascii="仿宋_GB2312" w:hAnsi="宋体" w:eastAsia="仿宋_GB2312"/>
          <w:sz w:val="32"/>
          <w:szCs w:val="32"/>
        </w:rPr>
        <w:t>%</w:t>
      </w:r>
      <w:r>
        <w:rPr>
          <w:rFonts w:hint="eastAsia" w:ascii="仿宋_GB2312"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2015年</w:t>
      </w:r>
      <w:r>
        <w:rPr>
          <w:rFonts w:hint="eastAsia" w:ascii="仿宋_GB2312" w:eastAsia="仿宋_GB2312"/>
          <w:sz w:val="32"/>
          <w:szCs w:val="32"/>
        </w:rPr>
        <w:t>“三公”经费财政拨款支出决算中，公务用车购置及运行维护费支出</w:t>
      </w:r>
      <w:r>
        <w:rPr>
          <w:rFonts w:hint="eastAsia" w:ascii="仿宋_GB2312" w:eastAsia="仿宋_GB2312"/>
          <w:sz w:val="32"/>
          <w:szCs w:val="32"/>
          <w:lang w:val="en-US" w:eastAsia="zh-CN"/>
        </w:rPr>
        <w:t>2</w:t>
      </w:r>
      <w:r>
        <w:rPr>
          <w:rFonts w:hint="eastAsia" w:ascii="仿宋_GB2312" w:eastAsia="仿宋_GB2312"/>
          <w:sz w:val="32"/>
          <w:szCs w:val="32"/>
        </w:rPr>
        <w:t>万元，占100%。具体情况如下：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1.因公出国（境）费支出0万元。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2</w:t>
      </w:r>
      <w:r>
        <w:rPr>
          <w:rFonts w:hint="eastAsia" w:ascii="仿宋_GB2312" w:eastAsia="仿宋_GB2312"/>
          <w:sz w:val="32"/>
          <w:szCs w:val="32"/>
        </w:rPr>
        <w:t>万元，其中：公务用车购置支出为0万元，2015</w:t>
      </w:r>
      <w:r>
        <w:rPr>
          <w:rFonts w:ascii="仿宋_GB2312" w:eastAsia="仿宋_GB2312"/>
          <w:sz w:val="32"/>
          <w:szCs w:val="32"/>
        </w:rPr>
        <w:t>年</w:t>
      </w:r>
      <w:r>
        <w:rPr>
          <w:rFonts w:hint="eastAsia" w:ascii="仿宋_GB2312" w:eastAsia="仿宋_GB2312"/>
          <w:sz w:val="32"/>
          <w:szCs w:val="32"/>
        </w:rPr>
        <w:t>公务用车购置数0辆；公务用车运行及维护支出</w:t>
      </w:r>
      <w:r>
        <w:rPr>
          <w:rFonts w:hint="eastAsia" w:ascii="仿宋_GB2312" w:eastAsia="仿宋_GB2312"/>
          <w:sz w:val="32"/>
          <w:szCs w:val="32"/>
          <w:lang w:val="en-US" w:eastAsia="zh-CN"/>
        </w:rPr>
        <w:t>2</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3.公务接待费支出0 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2015年本部门机关运行经费支出</w:t>
      </w:r>
      <w:r>
        <w:rPr>
          <w:rFonts w:hint="eastAsia" w:ascii="仿宋_GB2312" w:hAnsi="宋体" w:eastAsia="仿宋_GB2312"/>
          <w:sz w:val="32"/>
          <w:szCs w:val="32"/>
          <w:lang w:val="en-US" w:eastAsia="zh-CN"/>
        </w:rPr>
        <w:t>15.33</w:t>
      </w:r>
      <w:r>
        <w:rPr>
          <w:rFonts w:hint="eastAsia" w:ascii="仿宋_GB2312" w:hAnsi="宋体" w:eastAsia="仿宋_GB2312"/>
          <w:sz w:val="32"/>
          <w:szCs w:val="32"/>
        </w:rPr>
        <w:t>万元,比上年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0.79</w:t>
      </w:r>
      <w:r>
        <w:rPr>
          <w:rFonts w:hint="eastAsia" w:ascii="仿宋_GB2312" w:hAnsi="宋体" w:eastAsia="仿宋_GB2312"/>
          <w:sz w:val="32"/>
          <w:szCs w:val="32"/>
        </w:rPr>
        <w:t>万元，</w:t>
      </w:r>
      <w:r>
        <w:rPr>
          <w:rFonts w:hint="eastAsia" w:ascii="仿宋_GB2312" w:hAnsi="宋体" w:eastAsia="仿宋_GB2312"/>
          <w:sz w:val="32"/>
          <w:szCs w:val="32"/>
          <w:lang w:eastAsia="zh-CN"/>
        </w:rPr>
        <w:t>增长</w:t>
      </w:r>
      <w:r>
        <w:rPr>
          <w:rFonts w:hint="eastAsia" w:ascii="仿宋_GB2312" w:hAnsi="宋体" w:eastAsia="仿宋_GB2312"/>
          <w:sz w:val="32"/>
          <w:szCs w:val="32"/>
          <w:lang w:val="en-US" w:eastAsia="zh-CN"/>
        </w:rPr>
        <w:t>5</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业务量增加</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2015年本部门政府采购支出总额</w:t>
      </w:r>
      <w:r>
        <w:rPr>
          <w:rFonts w:hint="eastAsia" w:ascii="仿宋_GB2312" w:eastAsia="仿宋_GB2312"/>
          <w:sz w:val="32"/>
          <w:szCs w:val="32"/>
          <w:lang w:val="en-US" w:eastAsia="zh-CN"/>
        </w:rPr>
        <w:t>8.71</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截至2015年12月31日，本部门共有</w:t>
      </w:r>
      <w:r>
        <w:rPr>
          <w:rFonts w:hint="eastAsia" w:ascii="仿宋_GB2312" w:eastAsia="仿宋_GB2312"/>
          <w:sz w:val="32"/>
          <w:szCs w:val="32"/>
          <w:lang w:eastAsia="zh-CN"/>
        </w:rPr>
        <w:t>公务用</w:t>
      </w:r>
      <w:r>
        <w:rPr>
          <w:rFonts w:hint="eastAsia" w:ascii="仿宋_GB2312" w:eastAsia="仿宋_GB2312"/>
          <w:sz w:val="32"/>
          <w:szCs w:val="32"/>
        </w:rPr>
        <w:t>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hAnsi="宋体" w:eastAsia="仿宋_GB2312" w:cs="宋体"/>
          <w:kern w:val="0"/>
          <w:sz w:val="32"/>
          <w:szCs w:val="32"/>
        </w:rPr>
        <w:t>。</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我部门没有组织对2015年度一般公共预算项目支出全面开展绩效自评。</w:t>
      </w:r>
    </w:p>
    <w:p>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．部门决算中项目绩效自评结果（无）</w:t>
      </w:r>
      <w:r>
        <w:rPr>
          <w:rFonts w:hint="eastAsia" w:ascii="仿宋_GB2312" w:eastAsia="仿宋_GB2312"/>
          <w:sz w:val="32"/>
          <w:szCs w:val="32"/>
        </w:rPr>
        <w:t>。</w:t>
      </w:r>
    </w:p>
    <w:p>
      <w:pPr>
        <w:snapToGrid w:val="0"/>
        <w:spacing w:line="58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．重点项目绩效评价报告（无）</w:t>
      </w:r>
      <w:r>
        <w:rPr>
          <w:rFonts w:hint="eastAsia" w:ascii="仿宋_GB2312" w:eastAsia="仿宋_GB2312"/>
          <w:sz w:val="32"/>
          <w:szCs w:val="32"/>
        </w:rPr>
        <w:t>。</w:t>
      </w:r>
    </w:p>
    <w:p>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．其他以部门为主体开展的项目绩效评价报告（无）。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29"/>
    <w:rsid w:val="00043819"/>
    <w:rsid w:val="00046AB4"/>
    <w:rsid w:val="000A41BD"/>
    <w:rsid w:val="00117FC4"/>
    <w:rsid w:val="00124144"/>
    <w:rsid w:val="00127C98"/>
    <w:rsid w:val="001315A2"/>
    <w:rsid w:val="00145756"/>
    <w:rsid w:val="00216731"/>
    <w:rsid w:val="00230444"/>
    <w:rsid w:val="002312BB"/>
    <w:rsid w:val="003E4566"/>
    <w:rsid w:val="00403529"/>
    <w:rsid w:val="00443B38"/>
    <w:rsid w:val="00472D3B"/>
    <w:rsid w:val="004900FA"/>
    <w:rsid w:val="004E0138"/>
    <w:rsid w:val="00515CC0"/>
    <w:rsid w:val="005353CA"/>
    <w:rsid w:val="005B38B7"/>
    <w:rsid w:val="005D0BAE"/>
    <w:rsid w:val="00617315"/>
    <w:rsid w:val="00651258"/>
    <w:rsid w:val="006A6F80"/>
    <w:rsid w:val="0073104C"/>
    <w:rsid w:val="007426B1"/>
    <w:rsid w:val="00787456"/>
    <w:rsid w:val="00874448"/>
    <w:rsid w:val="008F688F"/>
    <w:rsid w:val="00921F50"/>
    <w:rsid w:val="00943F9E"/>
    <w:rsid w:val="009A68ED"/>
    <w:rsid w:val="00A81677"/>
    <w:rsid w:val="00A90988"/>
    <w:rsid w:val="00BA2933"/>
    <w:rsid w:val="00C019B1"/>
    <w:rsid w:val="00C61347"/>
    <w:rsid w:val="00D40B24"/>
    <w:rsid w:val="00D97975"/>
    <w:rsid w:val="00E365D5"/>
    <w:rsid w:val="00E82E41"/>
    <w:rsid w:val="00E97A61"/>
    <w:rsid w:val="00EF3202"/>
    <w:rsid w:val="00F4581B"/>
    <w:rsid w:val="2775060D"/>
    <w:rsid w:val="3086617A"/>
    <w:rsid w:val="37E45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customStyle="1" w:styleId="8">
    <w:name w:val="页眉 Char"/>
    <w:basedOn w:val="5"/>
    <w:link w:val="4"/>
    <w:qFormat/>
    <w:uiPriority w:val="0"/>
    <w:rPr>
      <w:rFonts w:ascii="Times New Roman" w:hAnsi="Times New Roman" w:eastAsia="宋体" w:cs="Times New Roman"/>
      <w:sz w:val="18"/>
      <w:szCs w:val="24"/>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批注框文本 Char"/>
    <w:basedOn w:val="5"/>
    <w:link w:val="2"/>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771</Words>
  <Characters>4397</Characters>
  <Lines>36</Lines>
  <Paragraphs>10</Paragraphs>
  <ScaleCrop>false</ScaleCrop>
  <LinksUpToDate>false</LinksUpToDate>
  <CharactersWithSpaces>5158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2018-03-29T12:39:00Z</dcterms:created>
  <dc:creator>Administrator</dc:creator>
  <cp:lastModifiedBy>windows7</cp:lastModifiedBy>
  <dcterms:modified xsi:type="dcterms:W3CDTF">2018-04-02T07:46:00Z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