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6A" w:rsidRDefault="006E656A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6E656A" w:rsidRDefault="006E656A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6E656A" w:rsidRDefault="007F71D9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2018</w:t>
      </w:r>
      <w:r w:rsidR="006E656A"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6E656A" w:rsidRDefault="007F71D9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榕城区供销社</w:t>
      </w:r>
      <w:r w:rsidR="006E656A">
        <w:rPr>
          <w:rFonts w:ascii="方正小标宋简体" w:eastAsia="方正小标宋简体" w:hAnsi="方正小标宋简体" w:cs="方正小标宋简体" w:hint="eastAsia"/>
          <w:sz w:val="84"/>
          <w:szCs w:val="84"/>
        </w:rPr>
        <w:t>部门预算</w:t>
      </w:r>
    </w:p>
    <w:p w:rsidR="006E656A" w:rsidRDefault="006E656A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6E656A" w:rsidRDefault="006E656A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6E656A" w:rsidRDefault="006E656A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/>
          <w:sz w:val="84"/>
          <w:szCs w:val="84"/>
        </w:rPr>
        <w:br w:type="page"/>
      </w:r>
    </w:p>
    <w:p w:rsidR="006E656A" w:rsidRDefault="006E656A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目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6E656A" w:rsidRDefault="006E656A" w:rsidP="007F71D9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 w:rsidR="009505A9">
        <w:rPr>
          <w:rFonts w:ascii="黑体" w:eastAsia="黑体" w:hAnsi="黑体" w:cs="黑体" w:hint="eastAsia"/>
          <w:sz w:val="32"/>
          <w:szCs w:val="32"/>
        </w:rPr>
        <w:t>揭阳市榕城区供销合作联社</w:t>
      </w:r>
      <w:r>
        <w:rPr>
          <w:rFonts w:ascii="黑体" w:eastAsia="黑体" w:hAnsi="黑体" w:cs="黑体" w:hint="eastAsia"/>
          <w:sz w:val="32"/>
          <w:szCs w:val="32"/>
        </w:rPr>
        <w:t>概况</w:t>
      </w:r>
    </w:p>
    <w:p w:rsidR="006E656A" w:rsidRDefault="006E656A" w:rsidP="007F71D9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6E656A" w:rsidRDefault="006E656A" w:rsidP="007F71D9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6E656A" w:rsidRDefault="006E656A" w:rsidP="007F71D9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 w:rsidR="009505A9">
        <w:rPr>
          <w:rFonts w:ascii="黑体" w:eastAsia="黑体" w:hAnsi="黑体" w:cs="黑体" w:hint="eastAsia"/>
          <w:sz w:val="32"/>
          <w:szCs w:val="32"/>
        </w:rPr>
        <w:t>2018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6E656A" w:rsidRDefault="006E656A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6E656A" w:rsidRDefault="006E656A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6E656A" w:rsidRDefault="006E656A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6E656A" w:rsidRDefault="006E656A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6E656A" w:rsidRDefault="006E656A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6E656A" w:rsidRDefault="006E656A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6E656A" w:rsidRDefault="006E656A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6E656A" w:rsidRDefault="006E656A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6E656A" w:rsidRDefault="006E656A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6E656A" w:rsidRDefault="006E656A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6E656A" w:rsidRDefault="006E656A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6E656A" w:rsidRDefault="006E656A" w:rsidP="007F71D9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 w:rsidR="00EC4331">
        <w:rPr>
          <w:rFonts w:ascii="黑体" w:eastAsia="黑体" w:hAnsi="黑体" w:cs="黑体" w:hint="eastAsia"/>
          <w:sz w:val="32"/>
          <w:szCs w:val="32"/>
        </w:rPr>
        <w:t>2018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6E656A" w:rsidRDefault="006E656A" w:rsidP="007F71D9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名词解释</w:t>
      </w:r>
    </w:p>
    <w:p w:rsidR="006E656A" w:rsidRDefault="006E656A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第一部分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 w:rsidR="00EC4331" w:rsidRPr="00EC4331">
        <w:rPr>
          <w:rFonts w:ascii="方正小标宋简体" w:eastAsia="方正小标宋简体" w:hAnsi="方正小标宋简体" w:cs="方正小标宋简体" w:hint="eastAsia"/>
          <w:sz w:val="44"/>
          <w:szCs w:val="44"/>
        </w:rPr>
        <w:t>揭阳市榕城区供销合作联社概况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概况</w:t>
      </w:r>
    </w:p>
    <w:p w:rsidR="006E656A" w:rsidRDefault="006E656A">
      <w:pPr>
        <w:rPr>
          <w:rFonts w:ascii="黑体" w:eastAsia="黑体" w:hAnsi="黑体" w:cs="Times New Roman"/>
          <w:sz w:val="44"/>
          <w:szCs w:val="44"/>
        </w:rPr>
      </w:pPr>
    </w:p>
    <w:p w:rsidR="006E656A" w:rsidRDefault="006E656A">
      <w:pPr>
        <w:numPr>
          <w:ilvl w:val="0"/>
          <w:numId w:val="3"/>
        </w:numPr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6E656A" w:rsidRDefault="006E656A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E207E9">
        <w:rPr>
          <w:rFonts w:ascii="仿宋_GB2312" w:eastAsia="仿宋_GB2312" w:hAnsi="仿宋_GB2312" w:cs="仿宋_GB2312" w:hint="eastAsia"/>
          <w:sz w:val="32"/>
          <w:szCs w:val="32"/>
        </w:rPr>
        <w:t>宣传贯彻党和政府有关农村经济工作的方针、政策。研究制订全区各类合作经济组织及供销社的发展战略和发展规划，指导全区供销社的发展和改革。</w:t>
      </w:r>
    </w:p>
    <w:p w:rsidR="006E656A" w:rsidRDefault="006E656A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="00E207E9">
        <w:rPr>
          <w:rFonts w:ascii="仿宋_GB2312" w:eastAsia="仿宋_GB2312" w:hAnsi="仿宋_GB2312" w:cs="仿宋_GB2312" w:hint="eastAsia"/>
          <w:sz w:val="32"/>
          <w:szCs w:val="32"/>
        </w:rPr>
        <w:t>按照政府授权对重要农业生产资料和农副产品经营进行组织、协调、管理；参与指导农业产业化合作经营。</w:t>
      </w:r>
    </w:p>
    <w:p w:rsidR="006E656A" w:rsidRDefault="00E207E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（三）维护全区供销社的合法权益。</w:t>
      </w:r>
    </w:p>
    <w:p w:rsidR="00E207E9" w:rsidRDefault="00E207E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（四）协调同有关部门的关系，指导全区供销社的业务活动，促进城乡物资交流；服务社区消费；组织开展对外供销合作活动，促进供销合作经济发展。</w:t>
      </w:r>
    </w:p>
    <w:p w:rsidR="00E207E9" w:rsidRDefault="00E207E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（五）吸纳农村各类合作经济组织加入联合社，发展农产品行业协会。</w:t>
      </w:r>
    </w:p>
    <w:p w:rsidR="00E207E9" w:rsidRDefault="00E207E9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（六）承办区委、区政府交办的其他任务。</w:t>
      </w:r>
    </w:p>
    <w:p w:rsidR="006E656A" w:rsidRDefault="006E656A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二、机构设置</w:t>
      </w:r>
    </w:p>
    <w:p w:rsidR="006E656A" w:rsidRPr="003A1E53" w:rsidRDefault="006E656A" w:rsidP="003A1E53">
      <w:pPr>
        <w:numPr>
          <w:ilvl w:val="0"/>
          <w:numId w:val="4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3A1E53">
        <w:rPr>
          <w:rFonts w:ascii="仿宋_GB2312" w:eastAsia="仿宋_GB2312" w:hAnsi="仿宋_GB2312" w:cs="仿宋_GB2312" w:hint="eastAsia"/>
          <w:sz w:val="32"/>
          <w:szCs w:val="32"/>
        </w:rPr>
        <w:t>本部门无下属单位，部门预算为</w:t>
      </w:r>
      <w:r w:rsidR="000C7E65">
        <w:rPr>
          <w:rFonts w:ascii="仿宋_GB2312" w:eastAsia="仿宋_GB2312" w:hAnsi="仿宋_GB2312" w:cs="仿宋_GB2312" w:hint="eastAsia"/>
          <w:sz w:val="32"/>
          <w:szCs w:val="32"/>
        </w:rPr>
        <w:t>区</w:t>
      </w:r>
      <w:r w:rsidR="00E207E9" w:rsidRPr="003A1E53">
        <w:rPr>
          <w:rFonts w:ascii="仿宋_GB2312" w:eastAsia="仿宋_GB2312" w:hAnsi="仿宋_GB2312" w:cs="仿宋_GB2312" w:hint="eastAsia"/>
          <w:sz w:val="32"/>
          <w:szCs w:val="32"/>
        </w:rPr>
        <w:t>供销社</w:t>
      </w:r>
      <w:r w:rsidRPr="003A1E53">
        <w:rPr>
          <w:rFonts w:ascii="仿宋_GB2312" w:eastAsia="仿宋_GB2312" w:hAnsi="仿宋_GB2312" w:cs="仿宋_GB2312" w:hint="eastAsia"/>
          <w:sz w:val="32"/>
          <w:szCs w:val="32"/>
        </w:rPr>
        <w:t>本级预算。</w:t>
      </w:r>
    </w:p>
    <w:p w:rsidR="00B53CD3" w:rsidRPr="00B9120B" w:rsidRDefault="006E656A" w:rsidP="00B53CD3">
      <w:pPr>
        <w:numPr>
          <w:ilvl w:val="0"/>
          <w:numId w:val="4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本部门内设机构、人员构成情况：</w:t>
      </w:r>
    </w:p>
    <w:p w:rsidR="00B9120B" w:rsidRDefault="00B9120B" w:rsidP="00B9120B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 xml:space="preserve">    根据上述任务，区供销合作联社设2个内设机构。</w:t>
      </w:r>
    </w:p>
    <w:p w:rsidR="00B9120B" w:rsidRDefault="00B9120B" w:rsidP="00B9120B">
      <w:pPr>
        <w:ind w:firstLineChars="250" w:firstLine="80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1、办公室</w:t>
      </w:r>
    </w:p>
    <w:p w:rsidR="00B9120B" w:rsidRDefault="00B9120B" w:rsidP="00B9120B">
      <w:pPr>
        <w:ind w:firstLineChars="250" w:firstLine="80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负责区供销合作联社重要</w:t>
      </w:r>
      <w:r w:rsidR="00403882">
        <w:rPr>
          <w:rFonts w:ascii="仿宋_GB2312" w:eastAsia="仿宋_GB2312" w:hAnsi="仿宋_GB2312" w:cs="Times New Roman" w:hint="eastAsia"/>
          <w:sz w:val="32"/>
          <w:szCs w:val="32"/>
        </w:rPr>
        <w:t>会议的组织和会议决定事项的落实、督办；起草本社年度工作计划、年终总结；协调各股室的工作关系；负责供销系统组织人事、机构编制、纪检监察、财务会计、内审统计、信息交流、工青妇及后勤服务等工作。</w:t>
      </w:r>
    </w:p>
    <w:p w:rsidR="00403882" w:rsidRDefault="00403882" w:rsidP="00B9120B">
      <w:pPr>
        <w:ind w:firstLineChars="250" w:firstLine="80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2、综合业务股</w:t>
      </w:r>
    </w:p>
    <w:p w:rsidR="00403882" w:rsidRDefault="00403882" w:rsidP="00B9120B">
      <w:pPr>
        <w:ind w:firstLineChars="250" w:firstLine="80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负责供销系统商标商号、企业工商登记、承包经营管理和基层建设工作。对重要农业生产资料和农副产品经营进行组织、协调、管理。组织开展对外供销合作活动，协调有关部门管理本系统质量、标准和认证工作。</w:t>
      </w:r>
    </w:p>
    <w:p w:rsidR="00403882" w:rsidRDefault="00403882" w:rsidP="00B9120B">
      <w:pPr>
        <w:ind w:firstLineChars="250" w:firstLine="800"/>
        <w:rPr>
          <w:rFonts w:ascii="仿宋_GB2312" w:eastAsia="仿宋_GB2312" w:hAnsi="仿宋_GB2312" w:cs="Times New Roman"/>
          <w:sz w:val="32"/>
          <w:szCs w:val="32"/>
        </w:rPr>
      </w:pPr>
    </w:p>
    <w:p w:rsidR="00403882" w:rsidRPr="00B53CD3" w:rsidRDefault="00403882" w:rsidP="00B9120B">
      <w:pPr>
        <w:ind w:firstLineChars="250" w:firstLine="800"/>
        <w:rPr>
          <w:rFonts w:ascii="仿宋_GB2312" w:eastAsia="仿宋_GB2312" w:hAnsi="仿宋_GB2312" w:cs="Times New Roman"/>
          <w:sz w:val="32"/>
          <w:szCs w:val="32"/>
        </w:rPr>
        <w:sectPr w:rsidR="00403882" w:rsidRPr="00B53CD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E656A" w:rsidRDefault="006E656A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第二部分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 w:rsidR="006D3840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6E656A" w:rsidRDefault="006E656A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106C61" w:rsidRDefault="00106C61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另见公开附表1-11</w:t>
      </w:r>
    </w:p>
    <w:p w:rsidR="006E656A" w:rsidRDefault="006E656A">
      <w:pPr>
        <w:rPr>
          <w:rFonts w:cs="Times New Roman"/>
        </w:rPr>
      </w:pPr>
    </w:p>
    <w:p w:rsidR="006E656A" w:rsidRDefault="006E656A">
      <w:pPr>
        <w:rPr>
          <w:rFonts w:cs="Times New Roman"/>
        </w:rPr>
      </w:pPr>
    </w:p>
    <w:p w:rsidR="006E656A" w:rsidRDefault="006E656A">
      <w:pPr>
        <w:rPr>
          <w:rFonts w:cs="Times New Roman"/>
        </w:rPr>
      </w:pPr>
    </w:p>
    <w:p w:rsidR="006E656A" w:rsidRDefault="006E656A">
      <w:pPr>
        <w:rPr>
          <w:rFonts w:cs="Times New Roman"/>
        </w:rPr>
      </w:pPr>
    </w:p>
    <w:p w:rsidR="006E656A" w:rsidRDefault="006E656A">
      <w:pPr>
        <w:rPr>
          <w:rFonts w:cs="Times New Roman"/>
        </w:rPr>
      </w:pPr>
    </w:p>
    <w:p w:rsidR="006E656A" w:rsidRDefault="006E656A">
      <w:pPr>
        <w:rPr>
          <w:rFonts w:cs="Times New Roman"/>
        </w:rPr>
      </w:pPr>
    </w:p>
    <w:p w:rsidR="006E656A" w:rsidRDefault="006E656A">
      <w:pPr>
        <w:rPr>
          <w:rFonts w:cs="Times New Roman"/>
        </w:rPr>
      </w:pPr>
    </w:p>
    <w:p w:rsidR="006E656A" w:rsidRDefault="006E656A">
      <w:pPr>
        <w:rPr>
          <w:rFonts w:cs="Times New Roman"/>
        </w:rPr>
      </w:pPr>
    </w:p>
    <w:p w:rsidR="006E656A" w:rsidRDefault="006E656A">
      <w:pPr>
        <w:rPr>
          <w:rFonts w:cs="Times New Roman"/>
        </w:rPr>
      </w:pPr>
    </w:p>
    <w:p w:rsidR="006E656A" w:rsidRDefault="006E656A">
      <w:pPr>
        <w:rPr>
          <w:rFonts w:cs="Times New Roman"/>
        </w:rPr>
      </w:pPr>
    </w:p>
    <w:p w:rsidR="006E656A" w:rsidRDefault="006E656A">
      <w:pPr>
        <w:rPr>
          <w:rFonts w:cs="Times New Roman"/>
        </w:rPr>
        <w:sectPr w:rsidR="006E65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E656A" w:rsidRDefault="006E656A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第三部分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 w:rsidR="006D3840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6E656A" w:rsidRDefault="006E656A">
      <w:pPr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6E656A" w:rsidRDefault="006E656A" w:rsidP="007F71D9">
      <w:pPr>
        <w:numPr>
          <w:ilvl w:val="0"/>
          <w:numId w:val="5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6E656A" w:rsidRDefault="00FF584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 w:rsidR="006E656A"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67.41</w:t>
      </w:r>
      <w:r w:rsidR="006E656A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A0133A">
        <w:rPr>
          <w:rFonts w:ascii="仿宋_GB2312" w:eastAsia="仿宋_GB2312" w:hAnsi="仿宋_GB2312" w:cs="仿宋_GB2312" w:hint="eastAsia"/>
          <w:sz w:val="32"/>
          <w:szCs w:val="32"/>
        </w:rPr>
        <w:t>（均为一般财政公共预算），</w:t>
      </w:r>
      <w:r w:rsidR="00ED25EA">
        <w:rPr>
          <w:rFonts w:ascii="仿宋_GB2312" w:eastAsia="仿宋_GB2312" w:hAnsi="仿宋_GB2312" w:cs="仿宋_GB2312" w:hint="eastAsia"/>
          <w:sz w:val="32"/>
          <w:szCs w:val="32"/>
        </w:rPr>
        <w:t>比上年减少</w:t>
      </w:r>
      <w:r w:rsidR="00A0133A">
        <w:rPr>
          <w:rFonts w:ascii="仿宋_GB2312" w:eastAsia="仿宋_GB2312" w:hAnsi="仿宋_GB2312" w:cs="仿宋_GB2312" w:hint="eastAsia"/>
          <w:sz w:val="32"/>
          <w:szCs w:val="32"/>
        </w:rPr>
        <w:t>8.83万元，下降11.58%，主要原因是：单位工资纳入财政统发，减少了退休人员工资在单位发放，退休费科目金额为零，同时增加了住房改革补贴，调整住房公积金缴费比例。</w:t>
      </w:r>
      <w:r w:rsidR="006E656A">
        <w:rPr>
          <w:rFonts w:ascii="仿宋_GB2312" w:eastAsia="仿宋_GB2312" w:hAnsi="仿宋_GB2312" w:cs="仿宋_GB2312" w:hint="eastAsia"/>
          <w:sz w:val="32"/>
          <w:szCs w:val="32"/>
        </w:rPr>
        <w:t>支出预算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67.41</w:t>
      </w:r>
      <w:r w:rsidR="006E656A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A0133A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4133C1">
        <w:rPr>
          <w:rFonts w:ascii="仿宋_GB2312" w:eastAsia="仿宋_GB2312" w:hAnsi="仿宋_GB2312" w:cs="仿宋_GB2312" w:hint="eastAsia"/>
          <w:sz w:val="32"/>
          <w:szCs w:val="32"/>
        </w:rPr>
        <w:t>均为基本支出，</w:t>
      </w:r>
      <w:r w:rsidR="00204F0F">
        <w:rPr>
          <w:rFonts w:ascii="仿宋_GB2312" w:eastAsia="仿宋_GB2312" w:hAnsi="仿宋_GB2312" w:cs="仿宋_GB2312" w:hint="eastAsia"/>
          <w:sz w:val="32"/>
          <w:szCs w:val="32"/>
        </w:rPr>
        <w:t>其中工资福利支出53.07万元，商品和服务支出7.38万元，对个人和家庭的补助6.96万元</w:t>
      </w:r>
      <w:r w:rsidR="00A0133A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2118CB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A0133A">
        <w:rPr>
          <w:rFonts w:ascii="仿宋_GB2312" w:eastAsia="仿宋_GB2312" w:hAnsi="仿宋_GB2312" w:cs="仿宋_GB2312" w:hint="eastAsia"/>
          <w:sz w:val="32"/>
          <w:szCs w:val="32"/>
        </w:rPr>
        <w:t>比上年减少8.83万元，下降11.58%，主要原因是：单位工资纳入财政统发，减少了退休人员工资在单位发放，退休费科目金额为零，同时增加了住房改革补贴，调整住房公积金缴费比例。</w:t>
      </w:r>
    </w:p>
    <w:p w:rsidR="002118CB" w:rsidRDefault="002118CB">
      <w:pPr>
        <w:ind w:firstLine="640"/>
        <w:rPr>
          <w:rFonts w:ascii="黑体" w:eastAsia="黑体" w:hAnsi="黑体" w:cs="Times New Roman"/>
          <w:sz w:val="32"/>
          <w:szCs w:val="32"/>
        </w:rPr>
      </w:pPr>
    </w:p>
    <w:p w:rsidR="006E656A" w:rsidRDefault="006E656A" w:rsidP="007F71D9">
      <w:pPr>
        <w:numPr>
          <w:ilvl w:val="0"/>
          <w:numId w:val="5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A0133A" w:rsidRDefault="00A0133A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2018年本部门“三公”经费预算安排0万元，比上年增加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减少0万元，增长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下降0%，与上年保持不变。其中：因公出国（境）费0万元，比上年增加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减少0万元，增长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下降0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，与上年保持不变；公务用车购置及运行费0万元，比上年增加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减少0万元，增长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下降0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，与上年保持不变；公务接待费0万元，比上年增加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减少0万元，增长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下降0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，与上年保持不变。</w:t>
      </w:r>
    </w:p>
    <w:p w:rsidR="006E656A" w:rsidRDefault="006E656A" w:rsidP="007F71D9">
      <w:pPr>
        <w:numPr>
          <w:ilvl w:val="0"/>
          <w:numId w:val="5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机关运行经费安排情况</w:t>
      </w:r>
    </w:p>
    <w:p w:rsidR="002118CB" w:rsidRDefault="002118CB" w:rsidP="002118CB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2018年，本部门机关运行经费安排7.38万元，比上年增加1.89万元，增长34.43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单位分类改革，纳入财政补助一类，本年度新增办公费及业务费。其中：办公费0.58万元，印刷费0万元，手续费0.05万元，邮电费0.25万元，差旅费0.5万元，会议费0万元，福利费0万元，日常维修费0.5万元，专用材料及一般设备购置费0万元，办公用房水电费1.8万元，办公用房取暖费0万元，办公用房物业管理费0万元，公务用车运行维护费0万元，办公用房租赁费2万元，其他交通费用0.8万元，</w:t>
      </w:r>
      <w:r w:rsidRPr="00F238F9">
        <w:rPr>
          <w:rFonts w:ascii="仿宋_GB2312" w:eastAsia="仿宋_GB2312" w:hAnsi="仿宋_GB2312" w:cs="仿宋_GB2312" w:hint="eastAsia"/>
          <w:sz w:val="32"/>
          <w:szCs w:val="32"/>
        </w:rPr>
        <w:t>其他商品和服务支出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0.9万元等。</w:t>
      </w:r>
    </w:p>
    <w:p w:rsidR="002118CB" w:rsidRDefault="002118CB" w:rsidP="002118CB">
      <w:pPr>
        <w:ind w:firstLine="645"/>
        <w:rPr>
          <w:rFonts w:ascii="仿宋_GB2312" w:eastAsia="仿宋_GB2312" w:hAnsi="仿宋_GB2312" w:cs="Times New Roman"/>
          <w:sz w:val="32"/>
          <w:szCs w:val="32"/>
        </w:rPr>
      </w:pPr>
    </w:p>
    <w:p w:rsidR="006E656A" w:rsidRDefault="006E656A" w:rsidP="007F71D9">
      <w:pPr>
        <w:numPr>
          <w:ilvl w:val="0"/>
          <w:numId w:val="5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8B1D8E" w:rsidRDefault="008B1D8E" w:rsidP="008B1D8E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2018年本部门政府采购安排0万元，其中：货物类采购预算0万元，工程类采购预算0万元，服务类采购预算0万元等。</w:t>
      </w:r>
    </w:p>
    <w:p w:rsidR="008B1D8E" w:rsidRDefault="008B1D8E" w:rsidP="008B1D8E">
      <w:pPr>
        <w:ind w:firstLine="630"/>
        <w:rPr>
          <w:rFonts w:ascii="仿宋_GB2312" w:eastAsia="仿宋_GB2312" w:hAnsi="仿宋_GB2312" w:cs="Times New Roman"/>
          <w:sz w:val="32"/>
          <w:szCs w:val="32"/>
        </w:rPr>
      </w:pPr>
    </w:p>
    <w:p w:rsidR="006E656A" w:rsidRDefault="006E656A" w:rsidP="007F71D9">
      <w:pPr>
        <w:numPr>
          <w:ilvl w:val="0"/>
          <w:numId w:val="5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6E656A" w:rsidRDefault="006E656A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 w:rsidR="00FF584E"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F584E"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F584E"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日，本部门占有使用国有资产总体情况为：</w:t>
      </w:r>
      <w:r w:rsidR="00FF584E" w:rsidRPr="00FF584E">
        <w:rPr>
          <w:rFonts w:ascii="仿宋_GB2312" w:eastAsia="仿宋_GB2312" w:hAnsi="仿宋_GB2312" w:cs="仿宋_GB2312" w:hint="eastAsia"/>
          <w:sz w:val="32"/>
          <w:szCs w:val="32"/>
        </w:rPr>
        <w:t>资产总额21.50万元</w:t>
      </w:r>
      <w:r w:rsidR="00FF584E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分布构成情况为：</w:t>
      </w:r>
      <w:r w:rsidR="00FF584E" w:rsidRPr="00FF584E">
        <w:rPr>
          <w:rFonts w:ascii="仿宋_GB2312" w:eastAsia="仿宋_GB2312" w:hAnsi="仿宋_GB2312" w:cs="仿宋_GB2312" w:hint="eastAsia"/>
          <w:sz w:val="32"/>
          <w:szCs w:val="32"/>
        </w:rPr>
        <w:t>流动资产2.61万元，固定资产</w:t>
      </w:r>
      <w:r w:rsidR="00FF584E">
        <w:rPr>
          <w:rFonts w:ascii="仿宋_GB2312" w:eastAsia="仿宋_GB2312" w:hAnsi="仿宋_GB2312" w:cs="仿宋_GB2312" w:hint="eastAsia"/>
          <w:sz w:val="32"/>
          <w:szCs w:val="32"/>
        </w:rPr>
        <w:t>（均</w:t>
      </w:r>
      <w:r w:rsidR="00FF584E" w:rsidRPr="00FF584E">
        <w:rPr>
          <w:rFonts w:ascii="仿宋_GB2312" w:eastAsia="仿宋_GB2312" w:hAnsi="仿宋_GB2312" w:cs="仿宋_GB2312" w:hint="eastAsia"/>
          <w:sz w:val="32"/>
          <w:szCs w:val="32"/>
        </w:rPr>
        <w:t>为通用设备18.89</w:t>
      </w:r>
      <w:r w:rsidR="00FF584E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FF584E" w:rsidRPr="00FF584E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，主要实物资产数据情况为：</w:t>
      </w:r>
      <w:r w:rsidR="00FF584E" w:rsidRPr="00FF584E">
        <w:rPr>
          <w:rFonts w:ascii="仿宋_GB2312" w:eastAsia="仿宋_GB2312" w:hAnsi="仿宋_GB2312" w:cs="仿宋_GB2312" w:hint="eastAsia"/>
          <w:sz w:val="32"/>
          <w:szCs w:val="32"/>
        </w:rPr>
        <w:t>通用设备18.89万元，其中小汽车一</w:t>
      </w:r>
      <w:r w:rsidR="00FF584E" w:rsidRPr="00FF584E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辆价值15.67万元</w:t>
      </w:r>
      <w:r w:rsidR="00FF584E">
        <w:rPr>
          <w:rFonts w:ascii="仿宋_GB2312" w:eastAsia="仿宋_GB2312" w:hAnsi="仿宋_GB2312" w:cs="仿宋_GB2312" w:hint="eastAsia"/>
          <w:sz w:val="32"/>
          <w:szCs w:val="32"/>
        </w:rPr>
        <w:t>（已办理公车改革</w:t>
      </w:r>
      <w:r w:rsidR="004707B5">
        <w:rPr>
          <w:rFonts w:ascii="仿宋_GB2312" w:eastAsia="仿宋_GB2312" w:hAnsi="仿宋_GB2312" w:cs="仿宋_GB2312" w:hint="eastAsia"/>
          <w:sz w:val="32"/>
          <w:szCs w:val="32"/>
        </w:rPr>
        <w:t>相关资料</w:t>
      </w:r>
      <w:r w:rsidR="00FF584E">
        <w:rPr>
          <w:rFonts w:ascii="仿宋_GB2312" w:eastAsia="仿宋_GB2312" w:hAnsi="仿宋_GB2312" w:cs="仿宋_GB2312" w:hint="eastAsia"/>
          <w:sz w:val="32"/>
          <w:szCs w:val="32"/>
        </w:rPr>
        <w:t>移交</w:t>
      </w:r>
      <w:r w:rsidR="00A243B2">
        <w:rPr>
          <w:rFonts w:ascii="仿宋_GB2312" w:eastAsia="仿宋_GB2312" w:hAnsi="仿宋_GB2312" w:cs="仿宋_GB2312" w:hint="eastAsia"/>
          <w:sz w:val="32"/>
          <w:szCs w:val="32"/>
        </w:rPr>
        <w:t>区财政</w:t>
      </w:r>
      <w:r w:rsidR="00FF584E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FF584E" w:rsidRPr="00FF584E">
        <w:rPr>
          <w:rFonts w:ascii="仿宋_GB2312" w:eastAsia="仿宋_GB2312" w:hAnsi="仿宋_GB2312" w:cs="仿宋_GB2312" w:hint="eastAsia"/>
          <w:sz w:val="32"/>
          <w:szCs w:val="32"/>
        </w:rPr>
        <w:t>，其他通用设备3.22万元(其中毁损待报废1.78万元)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8B1D8E">
        <w:rPr>
          <w:rFonts w:ascii="仿宋_GB2312" w:eastAsia="仿宋_GB2312" w:hAnsi="仿宋_GB2312" w:cs="仿宋_GB2312" w:hint="eastAsia"/>
          <w:sz w:val="32"/>
          <w:szCs w:val="32"/>
        </w:rPr>
        <w:t>资产变动情况为：近两年固定资产总额没有变动。</w:t>
      </w:r>
    </w:p>
    <w:p w:rsidR="008B1D8E" w:rsidRPr="00FF584E" w:rsidRDefault="008B1D8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E656A" w:rsidRDefault="006E656A" w:rsidP="007F71D9">
      <w:pPr>
        <w:numPr>
          <w:ilvl w:val="0"/>
          <w:numId w:val="5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6E656A" w:rsidRDefault="00880C8D" w:rsidP="00F43FC3">
      <w:pPr>
        <w:ind w:firstLine="641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 w:rsidR="006E656A">
        <w:rPr>
          <w:rFonts w:ascii="仿宋_GB2312" w:eastAsia="仿宋_GB2312" w:hAnsi="仿宋_GB2312" w:cs="仿宋_GB2312" w:hint="eastAsia"/>
          <w:sz w:val="32"/>
          <w:szCs w:val="32"/>
        </w:rPr>
        <w:t>年，本部门推进预算绩效信息公开的有关工作情况。</w:t>
      </w:r>
    </w:p>
    <w:p w:rsidR="006E656A" w:rsidRDefault="006E656A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6E656A" w:rsidRDefault="006E656A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p w:rsidR="002A3B5E" w:rsidRDefault="006E656A" w:rsidP="00F43FC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D85738"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2A3B5E" w:rsidRPr="00104669">
        <w:rPr>
          <w:rFonts w:ascii="仿宋_GB2312" w:eastAsia="仿宋_GB2312" w:hAnsi="仿宋_GB2312" w:cs="仿宋_GB2312" w:hint="eastAsia"/>
          <w:sz w:val="32"/>
          <w:szCs w:val="32"/>
        </w:rPr>
        <w:t>“三公”经费：指财政部门用财政拨款安排的因公出国（境）费、公务用车购置及运行费和公务接待费。</w:t>
      </w:r>
    </w:p>
    <w:p w:rsidR="0018101F" w:rsidRDefault="0018101F" w:rsidP="0018101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E656A" w:rsidRDefault="002E3ED8" w:rsidP="0018101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2E3ED8">
        <w:rPr>
          <w:rFonts w:ascii="仿宋_GB2312" w:eastAsia="仿宋_GB2312" w:hAnsi="仿宋_GB2312" w:cs="仿宋_GB2312" w:hint="eastAsia"/>
          <w:sz w:val="32"/>
          <w:szCs w:val="32"/>
        </w:rPr>
        <w:t>（二）机关运行经费：</w:t>
      </w:r>
      <w:r w:rsidR="00F43FC3" w:rsidRPr="00F43FC3">
        <w:rPr>
          <w:rFonts w:ascii="仿宋_GB2312" w:eastAsia="仿宋_GB2312" w:hAnsi="仿宋_GB2312" w:cs="仿宋_GB2312"/>
          <w:sz w:val="32"/>
          <w:szCs w:val="32"/>
        </w:rPr>
        <w:t>机关运行经费支出是指区</w:t>
      </w:r>
      <w:r w:rsidR="00F43FC3">
        <w:rPr>
          <w:rFonts w:ascii="仿宋_GB2312" w:eastAsia="仿宋_GB2312" w:hAnsi="仿宋_GB2312" w:cs="仿宋_GB2312" w:hint="eastAsia"/>
          <w:sz w:val="32"/>
          <w:szCs w:val="32"/>
        </w:rPr>
        <w:t>供销社的</w:t>
      </w:r>
      <w:r w:rsidR="00F43FC3">
        <w:rPr>
          <w:rFonts w:ascii="仿宋_GB2312" w:eastAsia="仿宋_GB2312" w:hAnsi="仿宋_GB2312" w:cs="仿宋_GB2312"/>
          <w:sz w:val="32"/>
          <w:szCs w:val="32"/>
        </w:rPr>
        <w:t>商品和服务支出</w:t>
      </w:r>
      <w:r w:rsidR="00F43FC3" w:rsidRPr="00F43FC3">
        <w:rPr>
          <w:rFonts w:ascii="仿宋_GB2312" w:eastAsia="仿宋_GB2312" w:hAnsi="仿宋_GB2312" w:cs="仿宋_GB2312"/>
          <w:sz w:val="32"/>
          <w:szCs w:val="32"/>
        </w:rPr>
        <w:t>，包括办公费、印刷费、</w:t>
      </w:r>
      <w:r w:rsidR="00F43FC3">
        <w:rPr>
          <w:rFonts w:ascii="仿宋_GB2312" w:eastAsia="仿宋_GB2312" w:hAnsi="仿宋_GB2312" w:cs="仿宋_GB2312" w:hint="eastAsia"/>
          <w:sz w:val="32"/>
          <w:szCs w:val="32"/>
        </w:rPr>
        <w:t>手续费、</w:t>
      </w:r>
      <w:r w:rsidR="00F43FC3" w:rsidRPr="00F43FC3">
        <w:rPr>
          <w:rFonts w:ascii="仿宋_GB2312" w:eastAsia="仿宋_GB2312" w:hAnsi="仿宋_GB2312" w:cs="仿宋_GB2312"/>
          <w:sz w:val="32"/>
          <w:szCs w:val="32"/>
        </w:rPr>
        <w:t>邮电费、差旅</w:t>
      </w:r>
      <w:r w:rsidR="00F43FC3">
        <w:rPr>
          <w:rFonts w:ascii="仿宋_GB2312" w:eastAsia="仿宋_GB2312" w:hAnsi="仿宋_GB2312" w:cs="仿宋_GB2312"/>
          <w:sz w:val="32"/>
          <w:szCs w:val="32"/>
        </w:rPr>
        <w:t>费、</w:t>
      </w:r>
      <w:r w:rsidR="00F43FC3">
        <w:rPr>
          <w:rFonts w:ascii="仿宋_GB2312" w:eastAsia="仿宋_GB2312" w:hAnsi="仿宋_GB2312" w:cs="仿宋_GB2312" w:hint="eastAsia"/>
          <w:sz w:val="32"/>
          <w:szCs w:val="32"/>
        </w:rPr>
        <w:t>日常维修费、办公用房水电费、办公用房租赁费、</w:t>
      </w:r>
      <w:r w:rsidR="00F43FC3">
        <w:rPr>
          <w:rFonts w:ascii="仿宋_GB2312" w:eastAsia="仿宋_GB2312" w:hAnsi="仿宋_GB2312" w:cs="仿宋_GB2312"/>
          <w:sz w:val="32"/>
          <w:szCs w:val="32"/>
        </w:rPr>
        <w:t>其他交通费用和其他商品和服务支出等日常工作运行费用</w:t>
      </w:r>
      <w:r w:rsidR="00F43FC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6E656A" w:rsidSect="00BA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ED3" w:rsidRDefault="00A01ED3" w:rsidP="002B3C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1ED3" w:rsidRDefault="00A01ED3" w:rsidP="002B3C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ED3" w:rsidRDefault="00A01ED3" w:rsidP="002B3C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1ED3" w:rsidRDefault="00A01ED3" w:rsidP="002B3C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oNotTrackMoves/>
  <w:documentProtection w:edit="forms" w:enforcement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5FA"/>
    <w:rsid w:val="000C7E65"/>
    <w:rsid w:val="000D6CBC"/>
    <w:rsid w:val="00104669"/>
    <w:rsid w:val="00106C61"/>
    <w:rsid w:val="00134FF9"/>
    <w:rsid w:val="00170D99"/>
    <w:rsid w:val="0018101F"/>
    <w:rsid w:val="00204F0F"/>
    <w:rsid w:val="002118CB"/>
    <w:rsid w:val="00274487"/>
    <w:rsid w:val="002A3B5E"/>
    <w:rsid w:val="002A6EF3"/>
    <w:rsid w:val="002B3CA4"/>
    <w:rsid w:val="002E3ED8"/>
    <w:rsid w:val="00325012"/>
    <w:rsid w:val="00355FE5"/>
    <w:rsid w:val="003A1E53"/>
    <w:rsid w:val="003C4EF5"/>
    <w:rsid w:val="003F4DF0"/>
    <w:rsid w:val="00403882"/>
    <w:rsid w:val="004133C1"/>
    <w:rsid w:val="00455B9F"/>
    <w:rsid w:val="004707B5"/>
    <w:rsid w:val="005228AB"/>
    <w:rsid w:val="0055749D"/>
    <w:rsid w:val="005D0FF4"/>
    <w:rsid w:val="00643C26"/>
    <w:rsid w:val="006D3840"/>
    <w:rsid w:val="006E656A"/>
    <w:rsid w:val="00732FE3"/>
    <w:rsid w:val="007D7DB9"/>
    <w:rsid w:val="007E2CBE"/>
    <w:rsid w:val="007E6DBB"/>
    <w:rsid w:val="007F71D9"/>
    <w:rsid w:val="00880C8D"/>
    <w:rsid w:val="008B1D8E"/>
    <w:rsid w:val="00947166"/>
    <w:rsid w:val="009505A9"/>
    <w:rsid w:val="009646C1"/>
    <w:rsid w:val="00A0133A"/>
    <w:rsid w:val="00A01ED3"/>
    <w:rsid w:val="00A243B2"/>
    <w:rsid w:val="00B36121"/>
    <w:rsid w:val="00B53CD3"/>
    <w:rsid w:val="00B72600"/>
    <w:rsid w:val="00B9120B"/>
    <w:rsid w:val="00BA45FA"/>
    <w:rsid w:val="00C2744D"/>
    <w:rsid w:val="00CA4A47"/>
    <w:rsid w:val="00D85738"/>
    <w:rsid w:val="00E207E9"/>
    <w:rsid w:val="00E55744"/>
    <w:rsid w:val="00E90ECF"/>
    <w:rsid w:val="00EB61C7"/>
    <w:rsid w:val="00EC4331"/>
    <w:rsid w:val="00ED25EA"/>
    <w:rsid w:val="00F1667F"/>
    <w:rsid w:val="00F238F9"/>
    <w:rsid w:val="00F43FC3"/>
    <w:rsid w:val="00F52BDE"/>
    <w:rsid w:val="00F52CD7"/>
    <w:rsid w:val="00FD4996"/>
    <w:rsid w:val="00FF584E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F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B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B3CA4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B3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B3CA4"/>
    <w:rPr>
      <w:rFonts w:ascii="Calibri" w:hAnsi="Calibri" w:cs="Calibri"/>
      <w:kern w:val="2"/>
      <w:sz w:val="18"/>
      <w:szCs w:val="18"/>
    </w:rPr>
  </w:style>
  <w:style w:type="paragraph" w:customStyle="1" w:styleId="CharChar1CharCharCharCharCharChar">
    <w:name w:val="Char Char1 Char Char Char Char Char Char"/>
    <w:basedOn w:val="a"/>
    <w:rsid w:val="00104669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320</Words>
  <Characters>1828</Characters>
  <Application>Microsoft Office Word</Application>
  <DocSecurity>0</DocSecurity>
  <Lines>15</Lines>
  <Paragraphs>4</Paragraphs>
  <ScaleCrop>false</ScaleCrop>
  <Company>微软中国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**年</dc:title>
  <dc:subject/>
  <dc:creator>huangzj</dc:creator>
  <cp:keywords/>
  <dc:description/>
  <cp:lastModifiedBy>xbany</cp:lastModifiedBy>
  <cp:revision>39</cp:revision>
  <cp:lastPrinted>2018-02-09T07:39:00Z</cp:lastPrinted>
  <dcterms:created xsi:type="dcterms:W3CDTF">2018-03-19T02:10:00Z</dcterms:created>
  <dcterms:modified xsi:type="dcterms:W3CDTF">2018-03-30T08:05:00Z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