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2383"/>
          <w:tab w:val="center" w:pos="4213"/>
        </w:tabs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ab/>
      </w:r>
      <w:bookmarkStart w:id="0" w:name="_GoBack"/>
      <w:bookmarkEnd w:id="0"/>
    </w:p>
    <w:p>
      <w:pPr>
        <w:tabs>
          <w:tab w:val="left" w:pos="2383"/>
          <w:tab w:val="center" w:pos="4213"/>
        </w:tabs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ab/>
      </w:r>
      <w:r>
        <w:rPr>
          <w:rFonts w:hint="eastAsia"/>
          <w:b/>
          <w:bCs/>
          <w:sz w:val="44"/>
          <w:szCs w:val="44"/>
          <w:lang w:val="en-US" w:eastAsia="zh-CN"/>
        </w:rPr>
        <w:t>榕城区人社局关于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2017年部门预算公开的补充说明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一、政府采购安排情况说明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2017年，我局没有招标采购项目的安排，故无相关内容的公开。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二、专业名词解释：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1、三公经费：指政府部门人员因公出国（境）经费、公务车购置及运行费、公务招待费产生的消费。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2、机关运行经费：为保障行政单位（含参照公务员法管理事业单位）运行用于购买货物和服务的各项资金，包括办公及印刷费、邮电费、差旅费、会议费、福利费、日常维修费、专用材料及一般设备购置费、办公用房取暖费、办公用房物业管理费、公务用车运行维修费以及其他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B7A59"/>
    <w:rsid w:val="2C1B7A59"/>
    <w:rsid w:val="68FE6E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2017-10-27T04:20:00Z</dcterms:created>
  <dc:creator>hp</dc:creator>
  <cp:lastModifiedBy>hp</cp:lastModifiedBy>
  <dcterms:modified xsi:type="dcterms:W3CDTF">2017-10-27T05:08:58Z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