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药品安全事件分级标准</w:t>
      </w:r>
    </w:p>
    <w:tbl>
      <w:tblPr>
        <w:tblStyle w:val="2"/>
        <w:tblW w:w="8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629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113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级别</w:t>
            </w:r>
          </w:p>
        </w:tc>
        <w:tc>
          <w:tcPr>
            <w:tcW w:w="629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标准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响应</w:t>
            </w:r>
            <w:r>
              <w:rPr>
                <w:rFonts w:cs="Times New Roman"/>
                <w:b/>
                <w:sz w:val="22"/>
                <w:szCs w:val="22"/>
                <w:lang w:eastAsia="zh-CN"/>
              </w:rPr>
              <w:t>级</w:t>
            </w:r>
            <w:r>
              <w:rPr>
                <w:rFonts w:cs="Times New Roman"/>
                <w:b/>
                <w:sz w:val="22"/>
                <w:szCs w:val="2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96" w:hRule="exact"/>
          <w:tblHeader/>
          <w:jc w:val="center"/>
        </w:trPr>
        <w:tc>
          <w:tcPr>
            <w:tcW w:w="113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特别重大药品安全事件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361F35"/>
                <w:sz w:val="22"/>
                <w:szCs w:val="22"/>
              </w:rPr>
              <w:t>（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Ⅰ</w:t>
            </w:r>
            <w:r>
              <w:rPr>
                <w:rFonts w:cs="Times New Roman"/>
                <w:color w:val="361F35"/>
                <w:sz w:val="22"/>
                <w:szCs w:val="22"/>
              </w:rPr>
              <w:t>级）</w:t>
            </w:r>
          </w:p>
        </w:tc>
        <w:tc>
          <w:tcPr>
            <w:tcW w:w="6295" w:type="dxa"/>
            <w:shd w:val="clear" w:color="auto" w:fill="FFFFFF"/>
            <w:noWrap w:val="0"/>
            <w:vAlign w:val="center"/>
          </w:tcPr>
          <w:p>
            <w:pPr>
              <w:pStyle w:val="4"/>
              <w:tabs>
                <w:tab w:val="left" w:pos="40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（1）在相对集中的时间和区域内，批号相对集中的同一药品引起临床表现相似的，且罕见的或非预期的不良事件的人数超过50人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（含）</w:t>
            </w:r>
            <w:r>
              <w:rPr>
                <w:rFonts w:cs="Times New Roman"/>
                <w:color w:val="000000"/>
                <w:sz w:val="22"/>
                <w:szCs w:val="22"/>
              </w:rPr>
              <w:t>；或者引起特别严重不良事件（可能对人体造成永久性伤残、对器官功能造成永久性损伤或危及生命）的人数超过10人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（含）。</w:t>
            </w:r>
          </w:p>
          <w:p>
            <w:pPr>
              <w:pStyle w:val="4"/>
              <w:tabs>
                <w:tab w:val="left" w:pos="41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（2）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同</w:t>
            </w:r>
            <w:r>
              <w:rPr>
                <w:rFonts w:cs="Times New Roman"/>
                <w:color w:val="000000"/>
                <w:sz w:val="22"/>
                <w:szCs w:val="22"/>
              </w:rPr>
              <w:t>一批号药品短期内引起5人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（含）</w:t>
            </w:r>
            <w:r>
              <w:rPr>
                <w:rFonts w:cs="Times New Roman"/>
                <w:color w:val="000000"/>
                <w:sz w:val="22"/>
                <w:szCs w:val="22"/>
              </w:rPr>
              <w:t>以上患者死亡。</w:t>
            </w:r>
          </w:p>
          <w:p>
            <w:pPr>
              <w:pStyle w:val="4"/>
              <w:tabs>
                <w:tab w:val="left" w:pos="42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（3）短期内2个以上市（地）因同一药品发生II级药品安全事件。</w:t>
            </w:r>
          </w:p>
          <w:p>
            <w:pPr>
              <w:pStyle w:val="4"/>
              <w:tabs>
                <w:tab w:val="left" w:pos="41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（4）其他危害特别严重的药品安全事件。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省级政府启动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Ⅰ</w:t>
            </w:r>
            <w:r>
              <w:rPr>
                <w:rFonts w:cs="Times New Roman"/>
                <w:color w:val="000000"/>
                <w:sz w:val="22"/>
                <w:szCs w:val="22"/>
              </w:rPr>
              <w:t>级响应；报请国家药监局启动响应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1" w:hRule="exact"/>
          <w:tblHeader/>
          <w:jc w:val="center"/>
        </w:trPr>
        <w:tc>
          <w:tcPr>
            <w:tcW w:w="113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重大药品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安全事件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Ⅱ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级）</w:t>
            </w:r>
          </w:p>
        </w:tc>
        <w:tc>
          <w:tcPr>
            <w:tcW w:w="6295" w:type="dxa"/>
            <w:shd w:val="clear" w:color="auto" w:fill="FFFFFF"/>
            <w:noWrap w:val="0"/>
            <w:vAlign w:val="center"/>
          </w:tcPr>
          <w:p>
            <w:pPr>
              <w:pStyle w:val="4"/>
              <w:tabs>
                <w:tab w:val="left" w:pos="40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（1）在相对集中的时间和区域内，批号相对集中的同一药品引起临床表现相似的，且罕见的或非预期的不良事件的人数超过30人（含），少于50 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人;</w:t>
            </w:r>
            <w:r>
              <w:rPr>
                <w:rFonts w:cs="Times New Roman"/>
                <w:color w:val="000000"/>
                <w:sz w:val="22"/>
                <w:szCs w:val="22"/>
              </w:rPr>
              <w:t>或者引起特别严重不良事件（可能对人体造成永久性伤残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cs="Times New Roman"/>
                <w:color w:val="000000"/>
                <w:sz w:val="22"/>
                <w:szCs w:val="22"/>
              </w:rPr>
              <w:t>对器官功能造成永久性损伤或危及生命），涉及人数超过5人（含）。</w:t>
            </w:r>
          </w:p>
          <w:p>
            <w:pPr>
              <w:pStyle w:val="4"/>
              <w:tabs>
                <w:tab w:val="left" w:pos="41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（2）同一批号药品短期内引起2人以上至5人以下患者死亡，且在同一区域内同时出现其他类似病例。</w:t>
            </w:r>
          </w:p>
          <w:p>
            <w:pPr>
              <w:pStyle w:val="4"/>
              <w:tabs>
                <w:tab w:val="left" w:pos="42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（3）短期内2个以上市（地）因同一药品发生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Ⅲ</w:t>
            </w:r>
            <w:r>
              <w:rPr>
                <w:rFonts w:cs="Times New Roman"/>
                <w:color w:val="000000"/>
                <w:sz w:val="22"/>
                <w:szCs w:val="22"/>
              </w:rPr>
              <w:t>级药品安全事件。</w:t>
            </w:r>
          </w:p>
          <w:p>
            <w:pPr>
              <w:pStyle w:val="4"/>
              <w:tabs>
                <w:tab w:val="left" w:pos="40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（4）其他危害严重的重大药品安全事件。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省级政府启动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Ⅱ</w:t>
            </w:r>
            <w:r>
              <w:rPr>
                <w:rFonts w:cs="Times New Roman"/>
                <w:color w:val="000000"/>
                <w:sz w:val="22"/>
                <w:szCs w:val="22"/>
              </w:rPr>
              <w:t>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75" w:hRule="exact"/>
          <w:tblHeader/>
          <w:jc w:val="center"/>
        </w:trPr>
        <w:tc>
          <w:tcPr>
            <w:tcW w:w="113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较大药品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安全事件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Ⅲ</w:t>
            </w:r>
            <w:r>
              <w:rPr>
                <w:rFonts w:cs="Times New Roman"/>
                <w:color w:val="000000"/>
                <w:sz w:val="22"/>
                <w:szCs w:val="22"/>
              </w:rPr>
              <w:t>级）</w:t>
            </w:r>
          </w:p>
        </w:tc>
        <w:tc>
          <w:tcPr>
            <w:tcW w:w="6295" w:type="dxa"/>
            <w:shd w:val="clear" w:color="auto" w:fill="FFFFFF"/>
            <w:noWrap w:val="0"/>
            <w:vAlign w:val="center"/>
          </w:tcPr>
          <w:p>
            <w:pPr>
              <w:pStyle w:val="4"/>
              <w:tabs>
                <w:tab w:val="left" w:pos="40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1）在相对集中的时间和区域内，批号相对集中的同一药品引起临床表现相似的，且罕见的或非预期的不良事件的人数超过20人（含），少于30人。或者引起特别严重不良事件（可能对人体造成永久性伤残、对器官功能造成永久性损伤或危及生命），涉及人数超过3人（含）。</w:t>
            </w:r>
          </w:p>
          <w:p>
            <w:pPr>
              <w:pStyle w:val="4"/>
              <w:tabs>
                <w:tab w:val="left" w:pos="43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（2）同一批号药品短期内引起2人（含）以下患者死亡，且在同一区域内同时出现其他类似病例。</w:t>
            </w:r>
          </w:p>
          <w:p>
            <w:pPr>
              <w:pStyle w:val="4"/>
              <w:tabs>
                <w:tab w:val="left" w:pos="44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（3）短期内1个市（地）内2个以上县（市、区）因同一药品发生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Ⅳ</w:t>
            </w:r>
            <w:r>
              <w:rPr>
                <w:rFonts w:cs="Times New Roman"/>
                <w:color w:val="000000"/>
                <w:sz w:val="22"/>
                <w:szCs w:val="22"/>
              </w:rPr>
              <w:t>级药品安全事件</w:t>
            </w: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。</w:t>
            </w:r>
          </w:p>
          <w:p>
            <w:pPr>
              <w:pStyle w:val="4"/>
              <w:tabs>
                <w:tab w:val="left" w:pos="41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（4）其他危害较大的药品安全事件。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市级政府启动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Ⅲ</w:t>
            </w:r>
            <w:r>
              <w:rPr>
                <w:rFonts w:cs="Times New Roman"/>
                <w:color w:val="000000"/>
                <w:sz w:val="22"/>
                <w:szCs w:val="22"/>
              </w:rPr>
              <w:t>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78" w:hRule="exact"/>
          <w:tblHeader/>
          <w:jc w:val="center"/>
        </w:trPr>
        <w:tc>
          <w:tcPr>
            <w:tcW w:w="1135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一般药品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安全事件</w:t>
            </w:r>
          </w:p>
          <w:p>
            <w:pPr>
              <w:pStyle w:val="4"/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361F35"/>
                <w:sz w:val="22"/>
                <w:szCs w:val="22"/>
                <w:lang w:val="en-US" w:eastAsia="zh-CN" w:bidi="en-US"/>
              </w:rPr>
              <w:t>（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Ⅳ</w:t>
            </w:r>
            <w:r>
              <w:rPr>
                <w:rFonts w:cs="Times New Roman"/>
                <w:color w:val="000000"/>
                <w:sz w:val="22"/>
                <w:szCs w:val="22"/>
              </w:rPr>
              <w:t>级）</w:t>
            </w:r>
          </w:p>
        </w:tc>
        <w:tc>
          <w:tcPr>
            <w:tcW w:w="6295" w:type="dxa"/>
            <w:shd w:val="clear" w:color="auto" w:fill="FFFFFF"/>
            <w:noWrap w:val="0"/>
            <w:vAlign w:val="center"/>
          </w:tcPr>
          <w:p>
            <w:pPr>
              <w:pStyle w:val="4"/>
              <w:tabs>
                <w:tab w:val="left" w:pos="42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（1）在相对集中的时间和（或）区域内，批号相对集中的同一药品引起临床表现相似的，且罕见的或非预期的不良事件的人数超过10人（含），少于20 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人。</w:t>
            </w:r>
            <w:r>
              <w:rPr>
                <w:rFonts w:cs="Times New Roman"/>
                <w:color w:val="000000"/>
                <w:sz w:val="22"/>
                <w:szCs w:val="22"/>
              </w:rPr>
              <w:t>或者引起特别严重不良事件（可能对人体造成永久性伤残、对器官功能造成永久性损伤或危及生命），涉及人数超过2人（含）。</w:t>
            </w:r>
          </w:p>
          <w:p>
            <w:pPr>
              <w:pStyle w:val="4"/>
              <w:tabs>
                <w:tab w:val="left" w:pos="419"/>
              </w:tabs>
              <w:spacing w:line="280" w:lineRule="exact"/>
              <w:ind w:left="63" w:leftChars="30" w:right="63" w:rightChars="30" w:firstLine="440" w:firstLineChars="2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（2）其他一般药品安全事件。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>
            <w:pPr>
              <w:pStyle w:val="4"/>
              <w:spacing w:line="280" w:lineRule="exact"/>
              <w:ind w:left="63" w:leftChars="30" w:right="63" w:rightChars="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县级政府启动</w:t>
            </w:r>
            <w:r>
              <w:rPr>
                <w:rFonts w:cs="Times New Roman"/>
                <w:color w:val="000000"/>
                <w:sz w:val="22"/>
                <w:szCs w:val="22"/>
                <w:lang w:val="en-US" w:eastAsia="zh-CN" w:bidi="en-US"/>
              </w:rPr>
              <w:t>Ⅳ</w:t>
            </w:r>
            <w:r>
              <w:rPr>
                <w:rFonts w:cs="Times New Roman"/>
                <w:color w:val="000000"/>
                <w:sz w:val="22"/>
                <w:szCs w:val="22"/>
              </w:rPr>
              <w:t>级响应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2812"/>
    <w:rsid w:val="594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spacing w:line="241" w:lineRule="exact"/>
    </w:pPr>
    <w:rPr>
      <w:rFonts w:ascii="宋体" w:hAnsi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2021-12-22T03:20:00Z</dcterms:created>
  <dc:creator>Administrator</dc:creator>
  <cp:lastModifiedBy>Administrator</cp:lastModifiedBy>
  <dcterms:modified xsi:type="dcterms:W3CDTF">2021-12-22T03:21:34Z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